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20"/>
        <w:jc w:val="center"/>
        <w:keepLines w:val="0"/>
        <w:keepNext w:val="0"/>
        <w:spacing w:before="0" w:line="240" w:lineRule="auto"/>
        <w:rPr>
          <w:rFonts w:ascii="Times New Roman" w:hAnsi="Times New Roman" w:eastAsia="Calibri"/>
          <w:color w:val="auto"/>
          <w:sz w:val="28"/>
          <w:szCs w:val="28"/>
        </w:rPr>
      </w:pPr>
      <w:r/>
      <w:bookmarkStart w:id="0" w:name="_GoBack"/>
      <w:r>
        <w:rPr>
          <w:rFonts w:ascii="Times New Roman" w:hAnsi="Times New Roman" w:eastAsia="Calibri"/>
          <w:color w:val="auto"/>
          <w:sz w:val="28"/>
          <w:szCs w:val="28"/>
        </w:rPr>
        <w:t xml:space="preserve">V. Ведение реестра </w:t>
      </w:r>
      <w:r>
        <w:rPr>
          <w:rFonts w:ascii="Times New Roman" w:hAnsi="Times New Roman" w:eastAsia="Calibri"/>
          <w:color w:val="auto"/>
          <w:sz w:val="28"/>
          <w:szCs w:val="28"/>
        </w:rPr>
        <w:t xml:space="preserve">страховых</w:t>
      </w:r>
      <w:r>
        <w:rPr>
          <w:rFonts w:ascii="Times New Roman" w:hAnsi="Times New Roman" w:eastAsia="Calibri"/>
          <w:color w:val="auto"/>
          <w:sz w:val="28"/>
          <w:szCs w:val="28"/>
        </w:rPr>
        <w:t xml:space="preserve"> медицинских</w:t>
      </w:r>
      <w:bookmarkEnd w:id="0"/>
      <w:r>
        <w:rPr>
          <w:rFonts w:ascii="Times New Roman" w:hAnsi="Times New Roman" w:eastAsia="Calibri"/>
          <w:color w:val="auto"/>
          <w:sz w:val="28"/>
          <w:szCs w:val="28"/>
        </w:rPr>
      </w:r>
      <w:r>
        <w:rPr>
          <w:rFonts w:ascii="Times New Roman" w:hAnsi="Times New Roman" w:eastAsia="Calibri"/>
          <w:color w:val="auto"/>
          <w:sz w:val="28"/>
          <w:szCs w:val="28"/>
        </w:rPr>
      </w:r>
    </w:p>
    <w:p>
      <w:pPr>
        <w:pStyle w:val="620"/>
        <w:jc w:val="center"/>
        <w:keepLines w:val="0"/>
        <w:keepNext w:val="0"/>
        <w:spacing w:before="0" w:line="240" w:lineRule="auto"/>
        <w:rPr>
          <w:rFonts w:ascii="Times New Roman" w:hAnsi="Times New Roman" w:eastAsia="Calibri"/>
          <w:color w:val="auto"/>
          <w:sz w:val="28"/>
          <w:szCs w:val="28"/>
        </w:rPr>
      </w:pPr>
      <w:r>
        <w:rPr>
          <w:rFonts w:ascii="Times New Roman" w:hAnsi="Times New Roman" w:eastAsia="Calibri"/>
          <w:color w:val="auto"/>
          <w:sz w:val="28"/>
          <w:szCs w:val="28"/>
        </w:rPr>
        <w:t xml:space="preserve">организаций, осуществляющих деятельность в сфере</w:t>
      </w:r>
      <w:r>
        <w:rPr>
          <w:rFonts w:ascii="Times New Roman" w:hAnsi="Times New Roman" w:eastAsia="Calibri"/>
          <w:color w:val="auto"/>
          <w:sz w:val="28"/>
          <w:szCs w:val="28"/>
        </w:rPr>
      </w:r>
    </w:p>
    <w:p>
      <w:pPr>
        <w:pStyle w:val="620"/>
        <w:jc w:val="center"/>
        <w:keepLines w:val="0"/>
        <w:keepNext w:val="0"/>
        <w:spacing w:before="0" w:line="240" w:lineRule="auto"/>
        <w:rPr>
          <w:rFonts w:ascii="Times New Roman" w:hAnsi="Times New Roman" w:eastAsia="Calibri"/>
          <w:color w:val="auto"/>
          <w:sz w:val="28"/>
          <w:szCs w:val="28"/>
        </w:rPr>
      </w:pPr>
      <w:r>
        <w:rPr>
          <w:rFonts w:ascii="Times New Roman" w:hAnsi="Times New Roman" w:eastAsia="Calibri"/>
          <w:color w:val="auto"/>
          <w:sz w:val="28"/>
          <w:szCs w:val="28"/>
        </w:rPr>
        <w:t xml:space="preserve">обязательного медицинского страхования на территории</w:t>
      </w:r>
      <w:r>
        <w:rPr>
          <w:rFonts w:ascii="Times New Roman" w:hAnsi="Times New Roman" w:eastAsia="Calibri"/>
          <w:color w:val="auto"/>
          <w:sz w:val="28"/>
          <w:szCs w:val="28"/>
        </w:rPr>
      </w:r>
    </w:p>
    <w:p>
      <w:pPr>
        <w:pStyle w:val="620"/>
        <w:jc w:val="center"/>
        <w:keepLines w:val="0"/>
        <w:keepNext w:val="0"/>
        <w:spacing w:before="0" w:line="240" w:lineRule="auto"/>
        <w:rPr>
          <w:rFonts w:ascii="Times New Roman" w:hAnsi="Times New Roman" w:eastAsia="Calibri"/>
          <w:color w:val="auto"/>
          <w:sz w:val="28"/>
          <w:szCs w:val="28"/>
        </w:rPr>
      </w:pPr>
      <w:r>
        <w:rPr>
          <w:rFonts w:ascii="Times New Roman" w:hAnsi="Times New Roman" w:eastAsia="Calibri"/>
          <w:color w:val="auto"/>
          <w:sz w:val="28"/>
          <w:szCs w:val="28"/>
        </w:rPr>
        <w:t xml:space="preserve">субъекта Российской Федерации, и единого реестра </w:t>
      </w:r>
      <w:r>
        <w:rPr>
          <w:rFonts w:ascii="Times New Roman" w:hAnsi="Times New Roman" w:eastAsia="Calibri"/>
          <w:color w:val="auto"/>
          <w:sz w:val="28"/>
          <w:szCs w:val="28"/>
        </w:rPr>
        <w:t xml:space="preserve">страховых</w:t>
      </w:r>
      <w:r>
        <w:rPr>
          <w:rFonts w:ascii="Times New Roman" w:hAnsi="Times New Roman" w:eastAsia="Calibri"/>
          <w:color w:val="auto"/>
          <w:sz w:val="28"/>
          <w:szCs w:val="28"/>
        </w:rPr>
      </w:r>
    </w:p>
    <w:p>
      <w:pPr>
        <w:pStyle w:val="620"/>
        <w:jc w:val="center"/>
        <w:keepLines w:val="0"/>
        <w:keepNext w:val="0"/>
        <w:spacing w:before="0" w:line="240" w:lineRule="auto"/>
        <w:rPr>
          <w:rFonts w:ascii="Times New Roman" w:hAnsi="Times New Roman" w:eastAsia="Calibri"/>
          <w:color w:val="auto"/>
          <w:sz w:val="28"/>
          <w:szCs w:val="28"/>
        </w:rPr>
      </w:pPr>
      <w:r>
        <w:rPr>
          <w:rFonts w:ascii="Times New Roman" w:hAnsi="Times New Roman" w:eastAsia="Calibri"/>
          <w:color w:val="auto"/>
          <w:sz w:val="28"/>
          <w:szCs w:val="28"/>
        </w:rPr>
        <w:t xml:space="preserve">медицинских организаций, осуществляющих деятельность</w:t>
      </w:r>
      <w:r>
        <w:rPr>
          <w:rFonts w:ascii="Times New Roman" w:hAnsi="Times New Roman" w:eastAsia="Calibri"/>
          <w:color w:val="auto"/>
          <w:sz w:val="28"/>
          <w:szCs w:val="28"/>
        </w:rPr>
      </w:r>
    </w:p>
    <w:p>
      <w:pPr>
        <w:pStyle w:val="620"/>
        <w:jc w:val="center"/>
        <w:keepLines w:val="0"/>
        <w:keepNext w:val="0"/>
        <w:spacing w:before="0" w:line="240" w:lineRule="auto"/>
        <w:rPr>
          <w:rFonts w:ascii="Times New Roman" w:hAnsi="Times New Roman" w:eastAsia="Calibri"/>
          <w:color w:val="auto"/>
          <w:sz w:val="28"/>
          <w:szCs w:val="28"/>
        </w:rPr>
      </w:pPr>
      <w:r>
        <w:rPr>
          <w:rFonts w:ascii="Times New Roman" w:hAnsi="Times New Roman" w:eastAsia="Calibri"/>
          <w:color w:val="auto"/>
          <w:sz w:val="28"/>
          <w:szCs w:val="28"/>
        </w:rPr>
        <w:t xml:space="preserve">в сфере обязательного медицинского страхования</w:t>
      </w:r>
      <w:r>
        <w:rPr>
          <w:rFonts w:ascii="Times New Roman" w:hAnsi="Times New Roman" w:eastAsia="Calibri"/>
          <w:color w:val="auto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91</w:t>
      </w:r>
      <w:r>
        <w:rPr>
          <w:rFonts w:ascii="Times New Roman" w:hAnsi="Times New Roman"/>
          <w:sz w:val="28"/>
          <w:szCs w:val="28"/>
        </w:rPr>
        <w:t xml:space="preserve">. Ведение реестра страховых медицинских организаций, осуществляющих деятельность в сфере обязательного медицинского страхования на территории субъекта Российской Федерации (далее - реестр страховых медицинских организаций), осуществляется в соответствии с </w:t>
      </w:r>
      <w:hyperlink r:id="rId8" w:tooltip="https://login.consultant.ru/link/?req=doc&amp;base=LAW&amp;n=541084&amp;dst=100396" w:history="1">
        <w:r>
          <w:rPr>
            <w:rFonts w:ascii="Times New Roman" w:hAnsi="Times New Roman"/>
            <w:color w:val="0000ff"/>
            <w:sz w:val="28"/>
            <w:szCs w:val="28"/>
          </w:rPr>
          <w:t xml:space="preserve">пунктом 14 части 7 статьи 34</w:t>
        </w:r>
      </w:hyperlink>
      <w:r>
        <w:rPr>
          <w:rFonts w:ascii="Times New Roman" w:hAnsi="Times New Roman"/>
          <w:sz w:val="28"/>
          <w:szCs w:val="28"/>
        </w:rPr>
        <w:t xml:space="preserve"> Федерального закона территориальным фондом. Рекомендуемый образец реестра страховых медицинских организаций приведен в </w:t>
      </w:r>
      <w:hyperlink r:id="rId9" w:tooltip="https://login.consultant.ru/link/?req=doc&amp;base=LAW&amp;n=513432&amp;dst=101570" w:history="1">
        <w:r>
          <w:rPr>
            <w:rFonts w:ascii="Times New Roman" w:hAnsi="Times New Roman"/>
            <w:color w:val="0000ff"/>
            <w:sz w:val="28"/>
            <w:szCs w:val="28"/>
          </w:rPr>
          <w:t xml:space="preserve">приложении N 2</w:t>
        </w:r>
      </w:hyperlink>
      <w:r>
        <w:rPr>
          <w:rFonts w:ascii="Times New Roman" w:hAnsi="Times New Roman"/>
          <w:sz w:val="28"/>
          <w:szCs w:val="28"/>
        </w:rPr>
        <w:t xml:space="preserve"> к настоящим Правилам.</w:t>
      </w:r>
      <w:r>
        <w:rPr>
          <w:rFonts w:ascii="Times New Roman" w:hAnsi="Times New Roman"/>
          <w:sz w:val="28"/>
          <w:szCs w:val="28"/>
        </w:rPr>
      </w:r>
    </w:p>
    <w:p>
      <w:pPr>
        <w:ind w:firstLine="540"/>
        <w:jc w:val="both"/>
        <w:spacing w:before="200"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92. Реестры страховых мед</w:t>
      </w:r>
      <w:r>
        <w:rPr>
          <w:rFonts w:ascii="Times New Roman" w:hAnsi="Times New Roman"/>
          <w:sz w:val="28"/>
          <w:szCs w:val="28"/>
        </w:rPr>
        <w:t xml:space="preserve">ицинских организаций субъектов Российской Федерации являются сегментами единого реестра страховых медицинских организаций, осуществляющих деятельность в сфере обязательного медицинского страхования (далее - единый реестр страховых медицинских организаций).</w:t>
      </w:r>
      <w:r>
        <w:rPr>
          <w:rFonts w:ascii="Times New Roman" w:hAnsi="Times New Roman"/>
          <w:sz w:val="28"/>
          <w:szCs w:val="28"/>
        </w:rPr>
      </w:r>
    </w:p>
    <w:p>
      <w:pPr>
        <w:ind w:firstLine="540"/>
        <w:jc w:val="both"/>
        <w:spacing w:before="200"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93. Ведение единого реестра страховых медицинских организаций осуществляется Федеральным фондом в соответствии с </w:t>
      </w:r>
      <w:hyperlink r:id="rId10" w:tooltip="https://login.consultant.ru/link/?req=doc&amp;base=LAW&amp;n=541084&amp;dst=396" w:history="1">
        <w:r>
          <w:rPr>
            <w:rFonts w:ascii="Times New Roman" w:hAnsi="Times New Roman"/>
            <w:color w:val="0000ff"/>
            <w:sz w:val="28"/>
            <w:szCs w:val="28"/>
          </w:rPr>
          <w:t xml:space="preserve">пунктом 9 части 8 статьи 33</w:t>
        </w:r>
      </w:hyperlink>
      <w:r>
        <w:rPr>
          <w:rFonts w:ascii="Times New Roman" w:hAnsi="Times New Roman"/>
          <w:sz w:val="28"/>
          <w:szCs w:val="28"/>
        </w:rPr>
        <w:t xml:space="preserve"> Федерального закона.</w:t>
      </w:r>
      <w:r>
        <w:rPr>
          <w:rFonts w:ascii="Times New Roman" w:hAnsi="Times New Roman"/>
          <w:sz w:val="28"/>
          <w:szCs w:val="28"/>
        </w:rPr>
      </w:r>
    </w:p>
    <w:p>
      <w:pPr>
        <w:ind w:firstLine="540"/>
        <w:jc w:val="both"/>
        <w:spacing w:before="200"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94. Реестр страховых медицинских организаций содержит следующие сведения:</w:t>
      </w:r>
      <w:r>
        <w:rPr>
          <w:rFonts w:ascii="Times New Roman" w:hAnsi="Times New Roman"/>
          <w:sz w:val="28"/>
          <w:szCs w:val="28"/>
        </w:rPr>
      </w:r>
    </w:p>
    <w:p>
      <w:pPr>
        <w:ind w:firstLine="540"/>
        <w:jc w:val="both"/>
        <w:spacing w:before="200"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код субъекта Российской Федерации по </w:t>
      </w:r>
      <w:hyperlink r:id="rId11" w:tooltip="https://login.consultant.ru/link/?req=doc&amp;base=LAW&amp;n=536637" w:history="1">
        <w:r>
          <w:rPr>
            <w:rFonts w:ascii="Times New Roman" w:hAnsi="Times New Roman"/>
            <w:color w:val="0000ff"/>
            <w:sz w:val="28"/>
            <w:szCs w:val="28"/>
          </w:rPr>
          <w:t xml:space="preserve">ОКАТО</w:t>
        </w:r>
      </w:hyperlink>
      <w:r>
        <w:rPr>
          <w:rFonts w:ascii="Times New Roman" w:hAnsi="Times New Roman"/>
          <w:sz w:val="28"/>
          <w:szCs w:val="28"/>
        </w:rPr>
        <w:t xml:space="preserve">, в котором расположена страховая медицинская организация, в соответствии с Уведомлением об идентификационных кодах по общероссийским классификаторам технико-экономической и социальной информации (далее - </w:t>
      </w:r>
      <w:r>
        <w:rPr>
          <w:rFonts w:ascii="Times New Roman" w:hAnsi="Times New Roman"/>
          <w:sz w:val="28"/>
          <w:szCs w:val="28"/>
        </w:rPr>
        <w:t xml:space="preserve">ОК</w:t>
      </w:r>
      <w:r>
        <w:rPr>
          <w:rFonts w:ascii="Times New Roman" w:hAnsi="Times New Roman"/>
          <w:sz w:val="28"/>
          <w:szCs w:val="28"/>
        </w:rPr>
        <w:t xml:space="preserve"> ТЭИ);</w:t>
      </w:r>
      <w:r>
        <w:rPr>
          <w:rFonts w:ascii="Times New Roman" w:hAnsi="Times New Roman"/>
          <w:sz w:val="28"/>
          <w:szCs w:val="28"/>
        </w:rPr>
      </w:r>
    </w:p>
    <w:p>
      <w:pPr>
        <w:ind w:firstLine="540"/>
        <w:jc w:val="both"/>
        <w:spacing w:before="200" w:after="0" w:line="240" w:lineRule="auto"/>
        <w:rPr>
          <w:rFonts w:ascii="Times New Roman" w:hAnsi="Times New Roman"/>
          <w:sz w:val="28"/>
          <w:szCs w:val="28"/>
        </w:rPr>
      </w:pPr>
      <w:r/>
      <w:bookmarkStart w:id="1" w:name="Par12"/>
      <w:r/>
      <w:bookmarkEnd w:id="1"/>
      <w:r>
        <w:rPr>
          <w:rFonts w:ascii="Times New Roman" w:hAnsi="Times New Roman"/>
          <w:sz w:val="28"/>
          <w:szCs w:val="28"/>
        </w:rPr>
        <w:t xml:space="preserve">2) код страховой медицинской организации в кодировке единого реестра страховых медицинских организаций (далее - реестровый номер);</w:t>
      </w:r>
      <w:r>
        <w:rPr>
          <w:rFonts w:ascii="Times New Roman" w:hAnsi="Times New Roman"/>
          <w:sz w:val="28"/>
          <w:szCs w:val="28"/>
        </w:rPr>
      </w:r>
    </w:p>
    <w:p>
      <w:pPr>
        <w:ind w:firstLine="540"/>
        <w:jc w:val="both"/>
        <w:spacing w:before="200" w:after="0" w:line="240" w:lineRule="auto"/>
        <w:rPr>
          <w:rFonts w:ascii="Times New Roman" w:hAnsi="Times New Roman"/>
          <w:sz w:val="28"/>
          <w:szCs w:val="28"/>
        </w:rPr>
      </w:pPr>
      <w:r/>
      <w:bookmarkStart w:id="2" w:name="Par13"/>
      <w:r/>
      <w:bookmarkEnd w:id="2"/>
      <w:r>
        <w:rPr>
          <w:rFonts w:ascii="Times New Roman" w:hAnsi="Times New Roman"/>
          <w:sz w:val="28"/>
          <w:szCs w:val="28"/>
        </w:rPr>
        <w:t xml:space="preserve">3) полное и сокращенное (при наличии) наименования страховой медицинской организации (филиала/представительства) в соответствии с единым государственным реестром юридических лиц (далее - ЕГРЮЛ);</w:t>
      </w:r>
      <w:r>
        <w:rPr>
          <w:rFonts w:ascii="Times New Roman" w:hAnsi="Times New Roman"/>
          <w:sz w:val="28"/>
          <w:szCs w:val="28"/>
        </w:rPr>
      </w:r>
    </w:p>
    <w:p>
      <w:pPr>
        <w:ind w:firstLine="540"/>
        <w:jc w:val="both"/>
        <w:spacing w:before="200"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4) головная организация (1), филиал (представительство) (2);</w:t>
      </w:r>
      <w:r>
        <w:rPr>
          <w:rFonts w:ascii="Times New Roman" w:hAnsi="Times New Roman"/>
          <w:sz w:val="28"/>
          <w:szCs w:val="28"/>
        </w:rPr>
      </w:r>
    </w:p>
    <w:p>
      <w:pPr>
        <w:ind w:firstLine="540"/>
        <w:jc w:val="both"/>
        <w:spacing w:before="200"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5) место нахождения и адрес страховой медицинской организации;</w:t>
      </w:r>
      <w:r>
        <w:rPr>
          <w:rFonts w:ascii="Times New Roman" w:hAnsi="Times New Roman"/>
          <w:sz w:val="28"/>
          <w:szCs w:val="28"/>
        </w:rPr>
      </w:r>
    </w:p>
    <w:p>
      <w:pPr>
        <w:ind w:firstLine="540"/>
        <w:jc w:val="both"/>
        <w:spacing w:before="200" w:after="0" w:line="240" w:lineRule="auto"/>
        <w:rPr>
          <w:rFonts w:ascii="Times New Roman" w:hAnsi="Times New Roman"/>
          <w:sz w:val="28"/>
          <w:szCs w:val="28"/>
        </w:rPr>
      </w:pPr>
      <w:r/>
      <w:bookmarkStart w:id="3" w:name="Par16"/>
      <w:r/>
      <w:bookmarkEnd w:id="3"/>
      <w:r>
        <w:rPr>
          <w:rFonts w:ascii="Times New Roman" w:hAnsi="Times New Roman"/>
          <w:sz w:val="28"/>
          <w:szCs w:val="28"/>
        </w:rPr>
        <w:t xml:space="preserve">6) фактический адрес страховой медицинской организации в соответствии с выпиской из ЕГРЮЛ;</w:t>
      </w:r>
      <w:r>
        <w:rPr>
          <w:rFonts w:ascii="Times New Roman" w:hAnsi="Times New Roman"/>
          <w:sz w:val="28"/>
          <w:szCs w:val="28"/>
        </w:rPr>
      </w:r>
    </w:p>
    <w:p>
      <w:pPr>
        <w:ind w:firstLine="540"/>
        <w:jc w:val="both"/>
        <w:spacing w:before="200"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7) место нахождения и адрес филиала (представительства) страховой медицинской организации на территории субъекта Российской Федерации в соответствии с выпиской из ЕГРЮЛ;</w:t>
      </w:r>
      <w:r>
        <w:rPr>
          <w:rFonts w:ascii="Times New Roman" w:hAnsi="Times New Roman"/>
          <w:sz w:val="28"/>
          <w:szCs w:val="28"/>
        </w:rPr>
      </w:r>
    </w:p>
    <w:p>
      <w:pPr>
        <w:ind w:firstLine="540"/>
        <w:jc w:val="both"/>
        <w:spacing w:before="200"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8) код причины постановки на учет (далее - КПП), для филиалов (представительств) страховых медицинских организаций в соответствии со свидетельством о постановке на учет российской организации в налоговом органе по месту ее нахождения;</w:t>
      </w:r>
      <w:r>
        <w:rPr>
          <w:rFonts w:ascii="Times New Roman" w:hAnsi="Times New Roman"/>
          <w:sz w:val="28"/>
          <w:szCs w:val="28"/>
        </w:rPr>
      </w:r>
    </w:p>
    <w:p>
      <w:pPr>
        <w:ind w:firstLine="540"/>
        <w:jc w:val="both"/>
        <w:spacing w:before="200" w:after="0" w:line="240" w:lineRule="auto"/>
        <w:rPr>
          <w:rFonts w:ascii="Times New Roman" w:hAnsi="Times New Roman"/>
          <w:sz w:val="28"/>
          <w:szCs w:val="28"/>
        </w:rPr>
      </w:pPr>
      <w:r/>
      <w:bookmarkStart w:id="4" w:name="Par19"/>
      <w:r/>
      <w:bookmarkEnd w:id="4"/>
      <w:r>
        <w:rPr>
          <w:rFonts w:ascii="Times New Roman" w:hAnsi="Times New Roman"/>
          <w:sz w:val="28"/>
          <w:szCs w:val="28"/>
        </w:rPr>
        <w:t xml:space="preserve">9) идентификационный номер налогоплательщика (далее - ИНН);</w:t>
      </w:r>
      <w:r>
        <w:rPr>
          <w:rFonts w:ascii="Times New Roman" w:hAnsi="Times New Roman"/>
          <w:sz w:val="28"/>
          <w:szCs w:val="28"/>
        </w:rPr>
      </w:r>
    </w:p>
    <w:p>
      <w:pPr>
        <w:ind w:firstLine="540"/>
        <w:jc w:val="both"/>
        <w:spacing w:before="200" w:after="0" w:line="240" w:lineRule="auto"/>
        <w:rPr>
          <w:rFonts w:ascii="Times New Roman" w:hAnsi="Times New Roman"/>
          <w:sz w:val="28"/>
          <w:szCs w:val="28"/>
        </w:rPr>
      </w:pPr>
      <w:r/>
      <w:bookmarkStart w:id="5" w:name="Par20"/>
      <w:r/>
      <w:bookmarkEnd w:id="5"/>
      <w:r>
        <w:rPr>
          <w:rFonts w:ascii="Times New Roman" w:hAnsi="Times New Roman"/>
          <w:sz w:val="28"/>
          <w:szCs w:val="28"/>
        </w:rPr>
        <w:t xml:space="preserve">10) основной государственный регистрационный номер записи о создании юридического лица (далее - ОГРН);</w:t>
      </w:r>
      <w:r>
        <w:rPr>
          <w:rFonts w:ascii="Times New Roman" w:hAnsi="Times New Roman"/>
          <w:sz w:val="28"/>
          <w:szCs w:val="28"/>
        </w:rPr>
      </w:r>
    </w:p>
    <w:p>
      <w:pPr>
        <w:ind w:firstLine="540"/>
        <w:jc w:val="both"/>
        <w:spacing w:before="200"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11) организационно-правовая форма и код организационно-правовой формы страховой медицинской организации </w:t>
      </w:r>
      <w:hyperlink r:id="rId12" w:tooltip="https://login.consultant.ru/link/?req=doc&amp;base=LAW&amp;n=516533" w:history="1">
        <w:r>
          <w:rPr>
            <w:rFonts w:ascii="Times New Roman" w:hAnsi="Times New Roman"/>
            <w:color w:val="0000ff"/>
            <w:sz w:val="28"/>
            <w:szCs w:val="28"/>
          </w:rPr>
          <w:t xml:space="preserve">(ОКОПФ)</w:t>
        </w:r>
      </w:hyperlink>
      <w:r>
        <w:rPr>
          <w:rFonts w:ascii="Times New Roman" w:hAnsi="Times New Roman"/>
          <w:sz w:val="28"/>
          <w:szCs w:val="28"/>
        </w:rPr>
        <w:t xml:space="preserve"> в соответствии с Уведомлением об идентификационных кодах по </w:t>
      </w:r>
      <w:r>
        <w:rPr>
          <w:rFonts w:ascii="Times New Roman" w:hAnsi="Times New Roman"/>
          <w:sz w:val="28"/>
          <w:szCs w:val="28"/>
        </w:rPr>
        <w:t xml:space="preserve">ОК</w:t>
      </w:r>
      <w:r>
        <w:rPr>
          <w:rFonts w:ascii="Times New Roman" w:hAnsi="Times New Roman"/>
          <w:sz w:val="28"/>
          <w:szCs w:val="28"/>
        </w:rPr>
        <w:t xml:space="preserve"> ТЭИ;</w:t>
      </w:r>
      <w:r>
        <w:rPr>
          <w:rFonts w:ascii="Times New Roman" w:hAnsi="Times New Roman"/>
          <w:sz w:val="28"/>
          <w:szCs w:val="28"/>
        </w:rPr>
      </w:r>
    </w:p>
    <w:p>
      <w:pPr>
        <w:ind w:firstLine="540"/>
        <w:jc w:val="both"/>
        <w:spacing w:before="200"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12) фамилию, имя, отчество (при наличии), номер телефона и факс руководителя, адрес электронной почты;</w:t>
      </w:r>
      <w:r>
        <w:rPr>
          <w:rFonts w:ascii="Times New Roman" w:hAnsi="Times New Roman"/>
          <w:sz w:val="28"/>
          <w:szCs w:val="28"/>
        </w:rPr>
      </w:r>
    </w:p>
    <w:p>
      <w:pPr>
        <w:ind w:firstLine="540"/>
        <w:jc w:val="both"/>
        <w:spacing w:before="200"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13) фамилию, имя, отчество (при наличии), номер телефона и факс, адрес электронной почты руководителя филиала (представительства) страховой медицинской организации на территории субъекта Российской Федерации;</w:t>
      </w:r>
      <w:r>
        <w:rPr>
          <w:rFonts w:ascii="Times New Roman" w:hAnsi="Times New Roman"/>
          <w:sz w:val="28"/>
          <w:szCs w:val="28"/>
        </w:rPr>
      </w:r>
    </w:p>
    <w:p>
      <w:pPr>
        <w:ind w:firstLine="540"/>
        <w:jc w:val="both"/>
        <w:spacing w:before="200" w:after="0" w:line="240" w:lineRule="auto"/>
        <w:rPr>
          <w:rFonts w:ascii="Times New Roman" w:hAnsi="Times New Roman"/>
          <w:sz w:val="28"/>
          <w:szCs w:val="28"/>
        </w:rPr>
      </w:pPr>
      <w:r/>
      <w:bookmarkStart w:id="6" w:name="Par24"/>
      <w:r/>
      <w:bookmarkEnd w:id="6"/>
      <w:r>
        <w:rPr>
          <w:rFonts w:ascii="Times New Roman" w:hAnsi="Times New Roman"/>
          <w:sz w:val="28"/>
          <w:szCs w:val="28"/>
        </w:rPr>
        <w:t xml:space="preserve">14) сведения о лицензии на осуществление страхования по виду деятельности - обязательное медицинское страхование (номер, дата выдачи и окончания срока действия, причины прекращения действия лицензии);</w:t>
      </w:r>
      <w:r>
        <w:rPr>
          <w:rFonts w:ascii="Times New Roman" w:hAnsi="Times New Roman"/>
          <w:sz w:val="28"/>
          <w:szCs w:val="28"/>
        </w:rPr>
      </w:r>
    </w:p>
    <w:p>
      <w:pPr>
        <w:ind w:firstLine="540"/>
        <w:jc w:val="both"/>
        <w:spacing w:before="200" w:after="0" w:line="240" w:lineRule="auto"/>
        <w:rPr>
          <w:rFonts w:ascii="Times New Roman" w:hAnsi="Times New Roman"/>
          <w:sz w:val="28"/>
          <w:szCs w:val="28"/>
        </w:rPr>
      </w:pPr>
      <w:r/>
      <w:bookmarkStart w:id="7" w:name="Par25"/>
      <w:r/>
      <w:bookmarkEnd w:id="7"/>
      <w:r>
        <w:rPr>
          <w:rFonts w:ascii="Times New Roman" w:hAnsi="Times New Roman"/>
          <w:sz w:val="28"/>
          <w:szCs w:val="28"/>
        </w:rPr>
        <w:t xml:space="preserve">15) дату включения страховой медицинской организации в реестр страховых медицинских организаций;</w:t>
      </w:r>
      <w:r>
        <w:rPr>
          <w:rFonts w:ascii="Times New Roman" w:hAnsi="Times New Roman"/>
          <w:sz w:val="28"/>
          <w:szCs w:val="28"/>
        </w:rPr>
      </w:r>
    </w:p>
    <w:p>
      <w:pPr>
        <w:ind w:firstLine="540"/>
        <w:jc w:val="both"/>
        <w:spacing w:before="200"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16) дату исключения страховой медицинской организации из реестра страховых медицинских организаций;</w:t>
      </w:r>
      <w:r>
        <w:rPr>
          <w:rFonts w:ascii="Times New Roman" w:hAnsi="Times New Roman"/>
          <w:sz w:val="28"/>
          <w:szCs w:val="28"/>
        </w:rPr>
      </w:r>
    </w:p>
    <w:p>
      <w:pPr>
        <w:ind w:firstLine="540"/>
        <w:jc w:val="both"/>
        <w:spacing w:before="200"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17) причину исключения страховой медицинской организации из реестра страховых медицинских организаций;</w:t>
      </w:r>
      <w:r>
        <w:rPr>
          <w:rFonts w:ascii="Times New Roman" w:hAnsi="Times New Roman"/>
          <w:sz w:val="28"/>
          <w:szCs w:val="28"/>
        </w:rPr>
      </w:r>
    </w:p>
    <w:p>
      <w:pPr>
        <w:ind w:firstLine="540"/>
        <w:jc w:val="both"/>
        <w:spacing w:before="200" w:after="0" w:line="240" w:lineRule="auto"/>
        <w:rPr>
          <w:rFonts w:ascii="Times New Roman" w:hAnsi="Times New Roman"/>
          <w:sz w:val="28"/>
          <w:szCs w:val="28"/>
        </w:rPr>
      </w:pPr>
      <w:r/>
      <w:bookmarkStart w:id="8" w:name="Par28"/>
      <w:r/>
      <w:bookmarkEnd w:id="8"/>
      <w:r>
        <w:rPr>
          <w:rFonts w:ascii="Times New Roman" w:hAnsi="Times New Roman"/>
          <w:sz w:val="28"/>
          <w:szCs w:val="28"/>
        </w:rPr>
        <w:t xml:space="preserve">18) численность застрахованных лиц страховой медицинской организацией в субъекте Российской Федерации на дату подачи уведомления о включении в реестр страховых медицинских организаций, осуществляющих деятельность в сфере </w:t>
      </w:r>
      <w:r>
        <w:rPr>
          <w:rFonts w:ascii="Times New Roman" w:hAnsi="Times New Roman"/>
          <w:sz w:val="28"/>
          <w:szCs w:val="28"/>
        </w:rPr>
        <w:t xml:space="preserve">обязательного медицинского страхования (далее - уведомление о включении в реестр страховых медицинских организаций);</w:t>
      </w:r>
      <w:r>
        <w:rPr>
          <w:rFonts w:ascii="Times New Roman" w:hAnsi="Times New Roman"/>
          <w:sz w:val="28"/>
          <w:szCs w:val="28"/>
        </w:rPr>
      </w:r>
    </w:p>
    <w:p>
      <w:pPr>
        <w:ind w:firstLine="540"/>
        <w:jc w:val="both"/>
        <w:spacing w:before="200"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19) количество уполномоченных лиц страховой медицинской организации (далее - </w:t>
      </w:r>
      <w:r>
        <w:rPr>
          <w:rFonts w:ascii="Times New Roman" w:hAnsi="Times New Roman"/>
          <w:sz w:val="28"/>
          <w:szCs w:val="28"/>
        </w:rPr>
        <w:t xml:space="preserve">представители страховой медицинской организации), фактически осуществляющих деятельность по защите прав застрахованных лиц на дату подачи уведомления о включении в реестр страховых медицинских организаций (в соответствии с установленной Федеральным фондом </w:t>
      </w:r>
      <w:hyperlink r:id="rId13" w:tooltip="https://login.consultant.ru/link/?req=doc&amp;base=LAW&amp;n=484555&amp;dst=100014" w:history="1">
        <w:r>
          <w:rPr>
            <w:rFonts w:ascii="Times New Roman" w:hAnsi="Times New Roman"/>
            <w:color w:val="0000ff"/>
            <w:sz w:val="28"/>
            <w:szCs w:val="28"/>
          </w:rPr>
          <w:t xml:space="preserve">формой</w:t>
        </w:r>
      </w:hyperlink>
      <w:r>
        <w:rPr>
          <w:rFonts w:ascii="Times New Roman" w:hAnsi="Times New Roman"/>
          <w:sz w:val="28"/>
          <w:szCs w:val="28"/>
        </w:rPr>
        <w:t xml:space="preserve"> отчетности ЗПЗ "Организация защиты прав застрахованных лиц в сфере обязательного медицинского страхования" &lt;12&gt;);</w:t>
      </w:r>
      <w:r>
        <w:rPr>
          <w:rFonts w:ascii="Times New Roman" w:hAnsi="Times New Roman"/>
          <w:sz w:val="28"/>
          <w:szCs w:val="28"/>
        </w:rPr>
      </w:r>
    </w:p>
    <w:p>
      <w:pPr>
        <w:ind w:firstLine="540"/>
        <w:jc w:val="both"/>
        <w:spacing w:before="200"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--------------------------------</w:t>
      </w:r>
      <w:r>
        <w:rPr>
          <w:rFonts w:ascii="Times New Roman" w:hAnsi="Times New Roman"/>
          <w:sz w:val="28"/>
          <w:szCs w:val="28"/>
        </w:rPr>
      </w:r>
    </w:p>
    <w:p>
      <w:pPr>
        <w:ind w:firstLine="540"/>
        <w:jc w:val="both"/>
        <w:spacing w:before="200"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&lt;12&gt; </w:t>
      </w:r>
      <w:hyperlink r:id="rId14" w:tooltip="https://login.consultant.ru/link/?req=doc&amp;base=LAW&amp;n=484555" w:history="1">
        <w:r>
          <w:rPr>
            <w:rFonts w:ascii="Times New Roman" w:hAnsi="Times New Roman"/>
            <w:color w:val="0000ff"/>
            <w:sz w:val="28"/>
            <w:szCs w:val="28"/>
          </w:rPr>
          <w:t xml:space="preserve">Приказ</w:t>
        </w:r>
      </w:hyperlink>
      <w:r>
        <w:rPr>
          <w:rFonts w:ascii="Times New Roman" w:hAnsi="Times New Roman"/>
          <w:sz w:val="28"/>
          <w:szCs w:val="28"/>
        </w:rPr>
        <w:t xml:space="preserve"> Федерального фонда обязательного медицинского страхования от 30 июля 2024 г. N 118н</w:t>
      </w:r>
      <w:r>
        <w:rPr>
          <w:rFonts w:ascii="Times New Roman" w:hAnsi="Times New Roman"/>
          <w:sz w:val="28"/>
          <w:szCs w:val="28"/>
        </w:rPr>
        <w:t xml:space="preserve"> "Об установлении формы и порядка ведения отчетности N ЗПЗ "Организация защиты прав застрахованных лиц в сфере обязательного медицинского страхования" (зарегистрирован Министерством юстиции Российской Федерации 27 августа 2024 г., регистрационный N 79297).</w:t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20) сведения о заключенном </w:t>
      </w:r>
      <w:r>
        <w:rPr>
          <w:rFonts w:ascii="Times New Roman" w:hAnsi="Times New Roman"/>
          <w:sz w:val="28"/>
          <w:szCs w:val="28"/>
        </w:rPr>
        <w:t xml:space="preserve">договоре</w:t>
      </w:r>
      <w:r>
        <w:rPr>
          <w:rFonts w:ascii="Times New Roman" w:hAnsi="Times New Roman"/>
          <w:sz w:val="28"/>
          <w:szCs w:val="28"/>
        </w:rPr>
        <w:t xml:space="preserve"> о финансовом обеспечении (номер, дата заключения, год реализации территориальной программы);</w:t>
      </w:r>
      <w:r>
        <w:rPr>
          <w:rFonts w:ascii="Times New Roman" w:hAnsi="Times New Roman"/>
          <w:sz w:val="28"/>
          <w:szCs w:val="28"/>
        </w:rPr>
      </w:r>
    </w:p>
    <w:p>
      <w:pPr>
        <w:ind w:firstLine="540"/>
        <w:jc w:val="both"/>
        <w:spacing w:before="200" w:after="0" w:line="240" w:lineRule="auto"/>
        <w:rPr>
          <w:rFonts w:ascii="Times New Roman" w:hAnsi="Times New Roman"/>
          <w:sz w:val="28"/>
          <w:szCs w:val="28"/>
        </w:rPr>
      </w:pPr>
      <w:r/>
      <w:bookmarkStart w:id="9" w:name="Par34"/>
      <w:r/>
      <w:bookmarkEnd w:id="9"/>
      <w:r>
        <w:rPr>
          <w:rFonts w:ascii="Times New Roman" w:hAnsi="Times New Roman"/>
          <w:sz w:val="28"/>
          <w:szCs w:val="28"/>
        </w:rPr>
        <w:t xml:space="preserve">21) сведения о прекращении или досрочном расторжении договора о финансовом обеспечении (дата и причина прекращения или досрочного расторжения).</w:t>
      </w:r>
      <w:r>
        <w:rPr>
          <w:rFonts w:ascii="Times New Roman" w:hAnsi="Times New Roman"/>
          <w:sz w:val="28"/>
          <w:szCs w:val="28"/>
        </w:rPr>
      </w:r>
    </w:p>
    <w:p>
      <w:pPr>
        <w:ind w:firstLine="540"/>
        <w:jc w:val="both"/>
        <w:spacing w:before="200"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95. Страховая медицинская организация включается в реестр страховых медицинских организаций на основании уведомления о включении в реестр страховых медицинских организаций, направляемого ею в территориальный фонд, рекомендуемый образец которого приведен в </w:t>
      </w:r>
      <w:hyperlink r:id="rId15" w:tooltip="https://login.consultant.ru/link/?req=doc&amp;base=LAW&amp;n=513432&amp;dst=101615" w:history="1">
        <w:r>
          <w:rPr>
            <w:rFonts w:ascii="Times New Roman" w:hAnsi="Times New Roman"/>
            <w:color w:val="0000ff"/>
            <w:sz w:val="28"/>
            <w:szCs w:val="28"/>
          </w:rPr>
          <w:t xml:space="preserve">приложении N 3</w:t>
        </w:r>
      </w:hyperlink>
      <w:r>
        <w:rPr>
          <w:rFonts w:ascii="Times New Roman" w:hAnsi="Times New Roman"/>
          <w:sz w:val="28"/>
          <w:szCs w:val="28"/>
        </w:rPr>
        <w:t xml:space="preserve"> к настоящим Правилам.</w:t>
      </w:r>
      <w:r>
        <w:rPr>
          <w:rFonts w:ascii="Times New Roman" w:hAnsi="Times New Roman"/>
          <w:sz w:val="28"/>
          <w:szCs w:val="28"/>
        </w:rPr>
      </w:r>
    </w:p>
    <w:p>
      <w:pPr>
        <w:ind w:firstLine="540"/>
        <w:jc w:val="both"/>
        <w:spacing w:before="200"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96. Страховая медицинская организация направляет уведомление о включении в реестр страховых медицинских организаций с 1 августа до 1 октября год</w:t>
      </w:r>
      <w:r>
        <w:rPr>
          <w:rFonts w:ascii="Times New Roman" w:hAnsi="Times New Roman"/>
          <w:sz w:val="28"/>
          <w:szCs w:val="28"/>
        </w:rPr>
        <w:t xml:space="preserve">а, предшествующего году, в котором страховая медицинская организация намерена осуществлять деятельность в сфере обязательного медицинского страхования, в электронном виде в государственной информационной системе обязательного медицинского страхования &lt;13&gt;.</w:t>
      </w:r>
      <w:r>
        <w:rPr>
          <w:rFonts w:ascii="Times New Roman" w:hAnsi="Times New Roman"/>
          <w:sz w:val="28"/>
          <w:szCs w:val="28"/>
        </w:rPr>
      </w:r>
    </w:p>
    <w:p>
      <w:pPr>
        <w:ind w:firstLine="540"/>
        <w:jc w:val="both"/>
        <w:spacing w:before="200"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--------------------------------</w:t>
      </w:r>
      <w:r>
        <w:rPr>
          <w:rFonts w:ascii="Times New Roman" w:hAnsi="Times New Roman"/>
          <w:sz w:val="28"/>
          <w:szCs w:val="28"/>
        </w:rPr>
      </w:r>
    </w:p>
    <w:p>
      <w:pPr>
        <w:ind w:firstLine="540"/>
        <w:jc w:val="both"/>
        <w:spacing w:before="200"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&lt;13&gt; </w:t>
      </w:r>
      <w:hyperlink r:id="rId16" w:tooltip="https://login.consultant.ru/link/?req=doc&amp;base=LAW&amp;n=411721" w:history="1">
        <w:r>
          <w:rPr>
            <w:rFonts w:ascii="Times New Roman" w:hAnsi="Times New Roman"/>
            <w:color w:val="0000ff"/>
            <w:sz w:val="28"/>
            <w:szCs w:val="28"/>
          </w:rPr>
          <w:t xml:space="preserve">Постановление</w:t>
        </w:r>
      </w:hyperlink>
      <w:r>
        <w:rPr>
          <w:rFonts w:ascii="Times New Roman" w:hAnsi="Times New Roman"/>
          <w:sz w:val="28"/>
          <w:szCs w:val="28"/>
        </w:rPr>
        <w:t xml:space="preserve"> Правительства Российской Федерации от 11 июня 2021 г. N 901 "Об утверждении Правил функционирования государственной информационной системы обязательного медицинского страхования и внесении изменений в некоторые акты Правительства Российской Федерации".</w:t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97. Уведомление о включении в реестр страховых медицинских организаций должно содержать следующую информацию:</w:t>
      </w:r>
      <w:r>
        <w:rPr>
          <w:rFonts w:ascii="Times New Roman" w:hAnsi="Times New Roman"/>
          <w:sz w:val="28"/>
          <w:szCs w:val="28"/>
        </w:rPr>
      </w:r>
    </w:p>
    <w:p>
      <w:pPr>
        <w:ind w:firstLine="540"/>
        <w:jc w:val="both"/>
        <w:spacing w:before="200"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полное и сокращенное (при наличии) наименования страховой медицинской организации в соответствии с ЕГРЮЛ;</w:t>
      </w:r>
      <w:r>
        <w:rPr>
          <w:rFonts w:ascii="Times New Roman" w:hAnsi="Times New Roman"/>
          <w:sz w:val="28"/>
          <w:szCs w:val="28"/>
        </w:rPr>
      </w:r>
    </w:p>
    <w:p>
      <w:pPr>
        <w:ind w:firstLine="540"/>
        <w:jc w:val="both"/>
        <w:spacing w:before="200"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наименование филиала (представительства) страховой медицинской организации в соответствии с выпиской из ЕГРЮЛ;</w:t>
      </w:r>
      <w:r>
        <w:rPr>
          <w:rFonts w:ascii="Times New Roman" w:hAnsi="Times New Roman"/>
          <w:sz w:val="28"/>
          <w:szCs w:val="28"/>
        </w:rPr>
      </w:r>
    </w:p>
    <w:p>
      <w:pPr>
        <w:ind w:firstLine="540"/>
        <w:jc w:val="both"/>
        <w:spacing w:before="200"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3) юридический адрес страховой медицинской организации в соответствии с выпиской из ЕГРЮЛ;</w:t>
      </w:r>
      <w:r>
        <w:rPr>
          <w:rFonts w:ascii="Times New Roman" w:hAnsi="Times New Roman"/>
          <w:sz w:val="28"/>
          <w:szCs w:val="28"/>
        </w:rPr>
      </w:r>
    </w:p>
    <w:p>
      <w:pPr>
        <w:ind w:firstLine="540"/>
        <w:jc w:val="both"/>
        <w:spacing w:before="200"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4) фактический адрес нахождения страховой медицинской организации;</w:t>
      </w:r>
      <w:r>
        <w:rPr>
          <w:rFonts w:ascii="Times New Roman" w:hAnsi="Times New Roman"/>
          <w:sz w:val="28"/>
          <w:szCs w:val="28"/>
        </w:rPr>
      </w:r>
    </w:p>
    <w:p>
      <w:pPr>
        <w:ind w:firstLine="540"/>
        <w:jc w:val="both"/>
        <w:spacing w:before="200"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5) юридический адрес филиала (представительства) страховой медицинской организации в соответствии с выпиской из ЕГРЮЛ;</w:t>
      </w:r>
      <w:r>
        <w:rPr>
          <w:rFonts w:ascii="Times New Roman" w:hAnsi="Times New Roman"/>
          <w:sz w:val="28"/>
          <w:szCs w:val="28"/>
        </w:rPr>
      </w:r>
    </w:p>
    <w:p>
      <w:pPr>
        <w:ind w:firstLine="540"/>
        <w:jc w:val="both"/>
        <w:spacing w:before="200"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6) фактический адрес нахождения филиала (представительства) страховой медицинской организации;</w:t>
      </w:r>
      <w:r>
        <w:rPr>
          <w:rFonts w:ascii="Times New Roman" w:hAnsi="Times New Roman"/>
          <w:sz w:val="28"/>
          <w:szCs w:val="28"/>
        </w:rPr>
      </w:r>
    </w:p>
    <w:p>
      <w:pPr>
        <w:ind w:firstLine="540"/>
        <w:jc w:val="both"/>
        <w:spacing w:before="200"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7) КПП (для филиалов (представительств) в соответствии со свидетельством о постановке на учет российской организации в налоговом органе по месту ее нахождения);</w:t>
      </w:r>
      <w:r>
        <w:rPr>
          <w:rFonts w:ascii="Times New Roman" w:hAnsi="Times New Roman"/>
          <w:sz w:val="28"/>
          <w:szCs w:val="28"/>
        </w:rPr>
      </w:r>
    </w:p>
    <w:p>
      <w:pPr>
        <w:ind w:firstLine="540"/>
        <w:jc w:val="both"/>
        <w:spacing w:before="200"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8) ИНН (для филиалов (представительств) в соответствии со свидетельством о постановке на учет российской организации в налоговом органе по месту ее нахождения);</w:t>
      </w:r>
      <w:r>
        <w:rPr>
          <w:rFonts w:ascii="Times New Roman" w:hAnsi="Times New Roman"/>
          <w:sz w:val="28"/>
          <w:szCs w:val="28"/>
        </w:rPr>
      </w:r>
    </w:p>
    <w:p>
      <w:pPr>
        <w:ind w:firstLine="540"/>
        <w:jc w:val="both"/>
        <w:spacing w:before="200"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9) ОГРН;</w:t>
      </w:r>
      <w:r>
        <w:rPr>
          <w:rFonts w:ascii="Times New Roman" w:hAnsi="Times New Roman"/>
          <w:sz w:val="28"/>
          <w:szCs w:val="28"/>
        </w:rPr>
      </w:r>
    </w:p>
    <w:p>
      <w:pPr>
        <w:ind w:firstLine="540"/>
        <w:jc w:val="both"/>
        <w:spacing w:before="200"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10) организационно-правовая форма страховой медицинской организации и код организационно-правовой формы </w:t>
      </w:r>
      <w:hyperlink r:id="rId17" w:tooltip="https://login.consultant.ru/link/?req=doc&amp;base=LAW&amp;n=516533" w:history="1">
        <w:r>
          <w:rPr>
            <w:rFonts w:ascii="Times New Roman" w:hAnsi="Times New Roman"/>
            <w:color w:val="0000ff"/>
            <w:sz w:val="28"/>
            <w:szCs w:val="28"/>
          </w:rPr>
          <w:t xml:space="preserve">(ОКОПФ)</w:t>
        </w:r>
      </w:hyperlink>
      <w:r>
        <w:rPr>
          <w:rFonts w:ascii="Times New Roman" w:hAnsi="Times New Roman"/>
          <w:sz w:val="28"/>
          <w:szCs w:val="28"/>
        </w:rPr>
        <w:t xml:space="preserve"> в соответствии с Уведомлением об идентификационных кодах по </w:t>
      </w:r>
      <w:r>
        <w:rPr>
          <w:rFonts w:ascii="Times New Roman" w:hAnsi="Times New Roman"/>
          <w:sz w:val="28"/>
          <w:szCs w:val="28"/>
        </w:rPr>
        <w:t xml:space="preserve">ОК</w:t>
      </w:r>
      <w:r>
        <w:rPr>
          <w:rFonts w:ascii="Times New Roman" w:hAnsi="Times New Roman"/>
          <w:sz w:val="28"/>
          <w:szCs w:val="28"/>
        </w:rPr>
        <w:t xml:space="preserve"> ТЭИ;</w:t>
      </w:r>
      <w:r>
        <w:rPr>
          <w:rFonts w:ascii="Times New Roman" w:hAnsi="Times New Roman"/>
          <w:sz w:val="28"/>
          <w:szCs w:val="28"/>
        </w:rPr>
      </w:r>
    </w:p>
    <w:p>
      <w:pPr>
        <w:ind w:firstLine="540"/>
        <w:jc w:val="both"/>
        <w:spacing w:before="200"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11) фамилию, имя, отчество (при наличии), номер телефона, факс руководителя, адрес электронной почты;</w:t>
      </w:r>
      <w:r>
        <w:rPr>
          <w:rFonts w:ascii="Times New Roman" w:hAnsi="Times New Roman"/>
          <w:sz w:val="28"/>
          <w:szCs w:val="28"/>
        </w:rPr>
      </w:r>
    </w:p>
    <w:p>
      <w:pPr>
        <w:ind w:firstLine="540"/>
        <w:jc w:val="both"/>
        <w:spacing w:before="200"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12) фамилию, имя, отчество (при наличии), номер телефона, факс руководителя филиала (представительства), адрес электронной почты;</w:t>
      </w:r>
      <w:r>
        <w:rPr>
          <w:rFonts w:ascii="Times New Roman" w:hAnsi="Times New Roman"/>
          <w:sz w:val="28"/>
          <w:szCs w:val="28"/>
        </w:rPr>
      </w:r>
    </w:p>
    <w:p>
      <w:pPr>
        <w:ind w:firstLine="540"/>
        <w:jc w:val="both"/>
        <w:spacing w:before="200"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13) сведения о лицензии на осуществление страхования по виду деятельности - обязательное медицинское страхование (номер, дата выдачи, дата окончания действия);</w:t>
      </w:r>
      <w:r>
        <w:rPr>
          <w:rFonts w:ascii="Times New Roman" w:hAnsi="Times New Roman"/>
          <w:sz w:val="28"/>
          <w:szCs w:val="28"/>
        </w:rPr>
      </w:r>
    </w:p>
    <w:p>
      <w:pPr>
        <w:ind w:firstLine="540"/>
        <w:jc w:val="both"/>
        <w:spacing w:before="200"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14) численность застрахованных лиц в субъекте Российской Федерации на дату подачи уведомления о включении в реестр страховых медицинских организаций;</w:t>
      </w:r>
      <w:r>
        <w:rPr>
          <w:rFonts w:ascii="Times New Roman" w:hAnsi="Times New Roman"/>
          <w:sz w:val="28"/>
          <w:szCs w:val="28"/>
        </w:rPr>
      </w:r>
    </w:p>
    <w:p>
      <w:pPr>
        <w:ind w:firstLine="540"/>
        <w:jc w:val="both"/>
        <w:spacing w:before="200"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15) сведения о возможности выполнения страховой медицинской организацией информационного сопровождения застрахованных лиц;</w:t>
      </w:r>
      <w:r>
        <w:rPr>
          <w:rFonts w:ascii="Times New Roman" w:hAnsi="Times New Roman"/>
          <w:sz w:val="28"/>
          <w:szCs w:val="28"/>
        </w:rPr>
      </w:r>
    </w:p>
    <w:p>
      <w:pPr>
        <w:ind w:firstLine="540"/>
        <w:jc w:val="both"/>
        <w:spacing w:before="200"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16) количество представителей страховой медицинской организации, фактически</w:t>
      </w:r>
      <w:r>
        <w:rPr>
          <w:rFonts w:ascii="Times New Roman" w:hAnsi="Times New Roman"/>
          <w:sz w:val="28"/>
          <w:szCs w:val="28"/>
        </w:rPr>
        <w:t xml:space="preserve"> осуществляющих деятельность по защите прав застрахованных лиц на дату подачи уведомления (в соответствии с установленной Федеральным фондом формой отчетности ЗПЗ "Организация защиты прав застрахованных лиц в сфере обязательного медицинского страхования").</w:t>
      </w:r>
      <w:r>
        <w:rPr>
          <w:rFonts w:ascii="Times New Roman" w:hAnsi="Times New Roman"/>
          <w:sz w:val="28"/>
          <w:szCs w:val="28"/>
        </w:rPr>
      </w:r>
    </w:p>
    <w:p>
      <w:pPr>
        <w:ind w:firstLine="540"/>
        <w:jc w:val="both"/>
        <w:spacing w:before="200"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98. В день получения уведомления о включении в реестр страховых медицинских организаций территориальный фонд осуществл</w:t>
      </w:r>
      <w:r>
        <w:rPr>
          <w:rFonts w:ascii="Times New Roman" w:hAnsi="Times New Roman"/>
          <w:sz w:val="28"/>
          <w:szCs w:val="28"/>
        </w:rPr>
        <w:t xml:space="preserve">яет его проверку и при установлении полноты указанных в уведомлении о включении в реестр страховых медицинских организаций сведений вносит данную страховую медицинскую организацию в реестр страховых медицинских организаций с присвоением реестрового номера.</w:t>
      </w:r>
      <w:r>
        <w:rPr>
          <w:rFonts w:ascii="Times New Roman" w:hAnsi="Times New Roman"/>
          <w:sz w:val="28"/>
          <w:szCs w:val="28"/>
        </w:rPr>
      </w:r>
    </w:p>
    <w:p>
      <w:pPr>
        <w:ind w:firstLine="540"/>
        <w:jc w:val="both"/>
        <w:spacing w:before="200"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99. Территориальный фонд не позднее двух рабочих дней </w:t>
      </w:r>
      <w:r>
        <w:rPr>
          <w:rFonts w:ascii="Times New Roman" w:hAnsi="Times New Roman"/>
          <w:sz w:val="28"/>
          <w:szCs w:val="28"/>
        </w:rPr>
        <w:t xml:space="preserve">с даты присвоения</w:t>
      </w:r>
      <w:r>
        <w:rPr>
          <w:rFonts w:ascii="Times New Roman" w:hAnsi="Times New Roman"/>
          <w:sz w:val="28"/>
          <w:szCs w:val="28"/>
        </w:rPr>
        <w:t xml:space="preserve"> страховой медицинской организации реестрового номера информирует страховую медицинскую организацию в государственной информационной системе обязательного медицинского страхования о включении в реестр страховых медицинских организаций.</w:t>
      </w:r>
      <w:r>
        <w:rPr>
          <w:rFonts w:ascii="Times New Roman" w:hAnsi="Times New Roman"/>
          <w:sz w:val="28"/>
          <w:szCs w:val="28"/>
        </w:rPr>
      </w:r>
    </w:p>
    <w:p>
      <w:pPr>
        <w:ind w:firstLine="540"/>
        <w:jc w:val="both"/>
        <w:spacing w:before="200"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100. При выявлении несоответствия сведений, представленных в уведомлении о включ</w:t>
      </w:r>
      <w:r>
        <w:rPr>
          <w:rFonts w:ascii="Times New Roman" w:hAnsi="Times New Roman"/>
          <w:sz w:val="28"/>
          <w:szCs w:val="28"/>
        </w:rPr>
        <w:t xml:space="preserve">ении в реестр страховых медицинских организаций, территориальный фонд в электронном виде в государственной информационной системе обязательного медицинского страхования уведомляет страховую медицинскую организацию о несоответствии соответствующих сведений.</w:t>
      </w:r>
      <w:r>
        <w:rPr>
          <w:rFonts w:ascii="Times New Roman" w:hAnsi="Times New Roman"/>
          <w:sz w:val="28"/>
          <w:szCs w:val="28"/>
        </w:rPr>
      </w:r>
    </w:p>
    <w:p>
      <w:pPr>
        <w:ind w:firstLine="540"/>
        <w:jc w:val="both"/>
        <w:spacing w:before="200"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101. Страховая медицинская организация вносит уточнения в уведомление о включении в реестр страховых медицинских организаций с учетом срока, установленного </w:t>
      </w:r>
      <w:hyperlink r:id="rId18" w:tooltip="https://login.consultant.ru/link/?req=doc&amp;base=LAW&amp;n=541084&amp;dst=386" w:history="1">
        <w:r>
          <w:rPr>
            <w:rFonts w:ascii="Times New Roman" w:hAnsi="Times New Roman"/>
            <w:color w:val="0000ff"/>
            <w:sz w:val="28"/>
            <w:szCs w:val="28"/>
          </w:rPr>
          <w:t xml:space="preserve">частью 10 статьи 14</w:t>
        </w:r>
      </w:hyperlink>
      <w:r>
        <w:rPr>
          <w:rFonts w:ascii="Times New Roman" w:hAnsi="Times New Roman"/>
          <w:sz w:val="28"/>
          <w:szCs w:val="28"/>
        </w:rPr>
        <w:t xml:space="preserve"> Федерального закона.</w:t>
      </w:r>
      <w:r>
        <w:rPr>
          <w:rFonts w:ascii="Times New Roman" w:hAnsi="Times New Roman"/>
          <w:sz w:val="28"/>
          <w:szCs w:val="28"/>
        </w:rPr>
      </w:r>
    </w:p>
    <w:p>
      <w:pPr>
        <w:ind w:firstLine="540"/>
        <w:jc w:val="both"/>
        <w:spacing w:before="200"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102. В случае изменения сведений о страховой медицинской организации, предусмотренных </w:t>
      </w:r>
      <w:hyperlink w:tooltip="#Par13" w:anchor="Par13" w:history="1">
        <w:r>
          <w:rPr>
            <w:rFonts w:ascii="Times New Roman" w:hAnsi="Times New Roman"/>
            <w:color w:val="0000ff"/>
            <w:sz w:val="28"/>
            <w:szCs w:val="28"/>
          </w:rPr>
          <w:t xml:space="preserve">подпунктами 3</w:t>
        </w:r>
      </w:hyperlink>
      <w:r>
        <w:rPr>
          <w:rFonts w:ascii="Times New Roman" w:hAnsi="Times New Roman"/>
          <w:sz w:val="28"/>
          <w:szCs w:val="28"/>
        </w:rPr>
        <w:t xml:space="preserve"> - </w:t>
      </w:r>
      <w:hyperlink w:tooltip="#Par20" w:anchor="Par20" w:history="1">
        <w:r>
          <w:rPr>
            <w:rFonts w:ascii="Times New Roman" w:hAnsi="Times New Roman"/>
            <w:color w:val="0000ff"/>
            <w:sz w:val="28"/>
            <w:szCs w:val="28"/>
          </w:rPr>
          <w:t xml:space="preserve">10 пункта 94</w:t>
        </w:r>
      </w:hyperlink>
      <w:r>
        <w:rPr>
          <w:rFonts w:ascii="Times New Roman" w:hAnsi="Times New Roman"/>
          <w:sz w:val="28"/>
          <w:szCs w:val="28"/>
        </w:rPr>
        <w:t xml:space="preserve"> настоящих Правил, страховая медицинская организация в течение двух рабочих дней </w:t>
      </w:r>
      <w:r>
        <w:rPr>
          <w:rFonts w:ascii="Times New Roman" w:hAnsi="Times New Roman"/>
          <w:sz w:val="28"/>
          <w:szCs w:val="28"/>
        </w:rPr>
        <w:t xml:space="preserve">с даты</w:t>
      </w:r>
      <w:r>
        <w:rPr>
          <w:rFonts w:ascii="Times New Roman" w:hAnsi="Times New Roman"/>
          <w:sz w:val="28"/>
          <w:szCs w:val="28"/>
        </w:rPr>
        <w:t xml:space="preserve"> этих изменений направляет в территориальный фонд в государственной информационной системе обязательного медицинского страхования новые сведения для актуализации реестра страховых медицинских организаций.</w:t>
      </w:r>
      <w:r>
        <w:rPr>
          <w:rFonts w:ascii="Times New Roman" w:hAnsi="Times New Roman"/>
          <w:sz w:val="28"/>
          <w:szCs w:val="28"/>
        </w:rPr>
      </w:r>
    </w:p>
    <w:p>
      <w:pPr>
        <w:ind w:firstLine="540"/>
        <w:jc w:val="both"/>
        <w:spacing w:before="200"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103. </w:t>
      </w:r>
      <w:r>
        <w:rPr>
          <w:rFonts w:ascii="Times New Roman" w:hAnsi="Times New Roman"/>
          <w:sz w:val="28"/>
          <w:szCs w:val="28"/>
        </w:rPr>
        <w:t xml:space="preserve">В случае изменения сведений о страховой медицинской организации, содержащихся в реестре страховых медицинских организаций субъекта Российской Федерации, в результате реорганизации страховой медицинской организации в форме преобразования, а также в фо</w:t>
      </w:r>
      <w:r>
        <w:rPr>
          <w:rFonts w:ascii="Times New Roman" w:hAnsi="Times New Roman"/>
          <w:sz w:val="28"/>
          <w:szCs w:val="28"/>
        </w:rPr>
        <w:t xml:space="preserve">рме присоединения к страховой медицинской организации, не включенной в реестр страховых медицинских организаций субъекта Российской Федерации, реорганизованная страховая медицинская организация в течение двух рабочих дней с даты этих изменений направляет в</w:t>
      </w:r>
      <w:r>
        <w:rPr>
          <w:rFonts w:ascii="Times New Roman" w:hAnsi="Times New Roman"/>
          <w:sz w:val="28"/>
          <w:szCs w:val="28"/>
        </w:rPr>
        <w:t xml:space="preserve"> территориальный фонд в государственной информационной системе обязательного медицинского страхования сведения, необходимые для внесения в реестр страховых медицинских </w:t>
      </w:r>
      <w:r>
        <w:rPr>
          <w:rFonts w:ascii="Times New Roman" w:hAnsi="Times New Roman"/>
          <w:sz w:val="28"/>
          <w:szCs w:val="28"/>
        </w:rPr>
        <w:t xml:space="preserve">организаций, а также копии документов, подтверждающих сведения о реорганизации.</w:t>
      </w:r>
      <w:r>
        <w:rPr>
          <w:rFonts w:ascii="Times New Roman" w:hAnsi="Times New Roman"/>
          <w:sz w:val="28"/>
          <w:szCs w:val="28"/>
        </w:rPr>
      </w:r>
    </w:p>
    <w:p>
      <w:pPr>
        <w:ind w:firstLine="540"/>
        <w:jc w:val="both"/>
        <w:spacing w:before="200"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104. Внесение </w:t>
      </w:r>
      <w:r>
        <w:rPr>
          <w:rFonts w:ascii="Times New Roman" w:hAnsi="Times New Roman"/>
          <w:sz w:val="28"/>
          <w:szCs w:val="28"/>
        </w:rPr>
        <w:t xml:space="preserve">изменений в сведения, содержащиеся в реестре страховых медицинских организаций, осуществляется территориальным фондом в течение пяти рабочих дней со дня представления страховыми медицинскими организациями сведений и документов, подтверждающих эти сведения.</w:t>
      </w:r>
      <w:r>
        <w:rPr>
          <w:rFonts w:ascii="Times New Roman" w:hAnsi="Times New Roman"/>
          <w:sz w:val="28"/>
          <w:szCs w:val="28"/>
        </w:rPr>
      </w:r>
    </w:p>
    <w:p>
      <w:pPr>
        <w:ind w:firstLine="540"/>
        <w:jc w:val="both"/>
        <w:spacing w:before="200"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105. Исключение страховой медицинской организации из реестра страховых медицинских ор</w:t>
      </w:r>
      <w:r>
        <w:rPr>
          <w:rFonts w:ascii="Times New Roman" w:hAnsi="Times New Roman"/>
          <w:sz w:val="28"/>
          <w:szCs w:val="28"/>
        </w:rPr>
        <w:t xml:space="preserve">ганизаций осуществляется в случаях приостановления либо прекращения действия лицензии, ликвидации страховой медицинской организации, по уведомлению о досрочном расторжении договора о финансовом обеспечении, непредставления документов в срок, установленный </w:t>
      </w:r>
      <w:hyperlink r:id="rId19" w:tooltip="https://login.consultant.ru/link/?req=doc&amp;base=LAW&amp;n=541084&amp;dst=386" w:history="1">
        <w:r>
          <w:rPr>
            <w:rFonts w:ascii="Times New Roman" w:hAnsi="Times New Roman"/>
            <w:color w:val="0000ff"/>
            <w:sz w:val="28"/>
            <w:szCs w:val="28"/>
          </w:rPr>
          <w:t xml:space="preserve">частью 10 статьи 14</w:t>
        </w:r>
      </w:hyperlink>
      <w:r>
        <w:rPr>
          <w:rFonts w:ascii="Times New Roman" w:hAnsi="Times New Roman"/>
          <w:sz w:val="28"/>
          <w:szCs w:val="28"/>
        </w:rPr>
        <w:t xml:space="preserve"> Федерального закона.</w:t>
      </w:r>
      <w:r>
        <w:rPr>
          <w:rFonts w:ascii="Times New Roman" w:hAnsi="Times New Roman"/>
          <w:sz w:val="28"/>
          <w:szCs w:val="28"/>
        </w:rPr>
      </w:r>
    </w:p>
    <w:p>
      <w:pPr>
        <w:ind w:firstLine="540"/>
        <w:jc w:val="both"/>
        <w:spacing w:before="200"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106. Уведомление о досрочном расторжении договора о финансовом обеспечении в соответствии с </w:t>
      </w:r>
      <w:hyperlink r:id="rId20" w:tooltip="https://login.consultant.ru/link/?req=doc&amp;base=LAW&amp;n=541084&amp;dst=100493" w:history="1">
        <w:r>
          <w:rPr>
            <w:rFonts w:ascii="Times New Roman" w:hAnsi="Times New Roman"/>
            <w:color w:val="0000ff"/>
            <w:sz w:val="28"/>
            <w:szCs w:val="28"/>
          </w:rPr>
          <w:t xml:space="preserve">частью 15 статьи 38</w:t>
        </w:r>
      </w:hyperlink>
      <w:r>
        <w:rPr>
          <w:rFonts w:ascii="Times New Roman" w:hAnsi="Times New Roman"/>
          <w:sz w:val="28"/>
          <w:szCs w:val="28"/>
        </w:rPr>
        <w:t xml:space="preserve"> Федерального закона направляется страховой медицинской организацией в территориальный фонд за три месяца до даты расторжения договора о финансовом обеспечении.</w:t>
      </w:r>
      <w:r>
        <w:rPr>
          <w:rFonts w:ascii="Times New Roman" w:hAnsi="Times New Roman"/>
          <w:sz w:val="28"/>
          <w:szCs w:val="28"/>
        </w:rPr>
      </w:r>
    </w:p>
    <w:p>
      <w:pPr>
        <w:ind w:firstLine="540"/>
        <w:jc w:val="both"/>
        <w:spacing w:before="200"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107. </w:t>
      </w:r>
      <w:r>
        <w:rPr>
          <w:rFonts w:ascii="Times New Roman" w:hAnsi="Times New Roman"/>
          <w:sz w:val="28"/>
          <w:szCs w:val="28"/>
        </w:rPr>
        <w:t xml:space="preserve">Исключение из реестра страховы</w:t>
      </w:r>
      <w:r>
        <w:rPr>
          <w:rFonts w:ascii="Times New Roman" w:hAnsi="Times New Roman"/>
          <w:sz w:val="28"/>
          <w:szCs w:val="28"/>
        </w:rPr>
        <w:t xml:space="preserve">х медицинских организаций в случаях приостановления либо прекращения действия лицензии или ликвидации страховой медицинской организации осуществляется в день получения территориальным фондом сведений, подтверждающих данную информацию, или на установленную </w:t>
      </w:r>
      <w:hyperlink r:id="rId21" w:tooltip="https://login.consultant.ru/link/?req=doc&amp;base=LAW&amp;n=541084&amp;dst=386" w:history="1">
        <w:r>
          <w:rPr>
            <w:rFonts w:ascii="Times New Roman" w:hAnsi="Times New Roman"/>
            <w:color w:val="0000ff"/>
            <w:sz w:val="28"/>
            <w:szCs w:val="28"/>
          </w:rPr>
          <w:t xml:space="preserve">частью 10 статьи 14</w:t>
        </w:r>
      </w:hyperlink>
      <w:r>
        <w:rPr>
          <w:rFonts w:ascii="Times New Roman" w:hAnsi="Times New Roman"/>
          <w:sz w:val="28"/>
          <w:szCs w:val="28"/>
        </w:rPr>
        <w:t xml:space="preserve"> Федерального закона дату при непредставлении страховой медицинской организацией документов в срок.</w:t>
      </w:r>
      <w:r>
        <w:rPr>
          <w:rFonts w:ascii="Times New Roman" w:hAnsi="Times New Roman"/>
          <w:sz w:val="28"/>
          <w:szCs w:val="28"/>
        </w:rPr>
      </w:r>
    </w:p>
    <w:p>
      <w:pPr>
        <w:ind w:firstLine="540"/>
        <w:jc w:val="both"/>
        <w:spacing w:before="200"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108. Исключение из</w:t>
      </w:r>
      <w:r>
        <w:rPr>
          <w:rFonts w:ascii="Times New Roman" w:hAnsi="Times New Roman"/>
          <w:sz w:val="28"/>
          <w:szCs w:val="28"/>
        </w:rPr>
        <w:t xml:space="preserve"> реестра страховых медицинских организаций на основании уведомления, направляемого страховой медицинской организации территориальным фондом, осуществляется не позднее следующего рабочего дня после дня прекращения действия договора о финансовом обеспечении.</w:t>
      </w:r>
      <w:r>
        <w:rPr>
          <w:rFonts w:ascii="Times New Roman" w:hAnsi="Times New Roman"/>
          <w:sz w:val="28"/>
          <w:szCs w:val="28"/>
        </w:rPr>
      </w:r>
    </w:p>
    <w:p>
      <w:pPr>
        <w:ind w:firstLine="540"/>
        <w:jc w:val="both"/>
        <w:spacing w:before="200"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109. Федеральный фонд обеспечивает размещение на своем официальном сайте единого реестра страховых медицинских организаций с указанием сведений, перечисленных в </w:t>
      </w:r>
      <w:hyperlink w:tooltip="#Par12" w:anchor="Par12" w:history="1">
        <w:r>
          <w:rPr>
            <w:rFonts w:ascii="Times New Roman" w:hAnsi="Times New Roman"/>
            <w:color w:val="0000ff"/>
            <w:sz w:val="28"/>
            <w:szCs w:val="28"/>
          </w:rPr>
          <w:t xml:space="preserve">подпунктах 2</w:t>
        </w:r>
      </w:hyperlink>
      <w:r>
        <w:rPr>
          <w:rFonts w:ascii="Times New Roman" w:hAnsi="Times New Roman"/>
          <w:sz w:val="28"/>
          <w:szCs w:val="28"/>
        </w:rPr>
        <w:t xml:space="preserve">, </w:t>
      </w:r>
      <w:hyperlink w:tooltip="#Par13" w:anchor="Par13" w:history="1">
        <w:r>
          <w:rPr>
            <w:rFonts w:ascii="Times New Roman" w:hAnsi="Times New Roman"/>
            <w:color w:val="0000ff"/>
            <w:sz w:val="28"/>
            <w:szCs w:val="28"/>
          </w:rPr>
          <w:t xml:space="preserve">3</w:t>
        </w:r>
      </w:hyperlink>
      <w:r>
        <w:rPr>
          <w:rFonts w:ascii="Times New Roman" w:hAnsi="Times New Roman"/>
          <w:sz w:val="28"/>
          <w:szCs w:val="28"/>
        </w:rPr>
        <w:t xml:space="preserve">, </w:t>
      </w:r>
      <w:hyperlink w:tooltip="#Par16" w:anchor="Par16" w:history="1">
        <w:r>
          <w:rPr>
            <w:rFonts w:ascii="Times New Roman" w:hAnsi="Times New Roman"/>
            <w:color w:val="0000ff"/>
            <w:sz w:val="28"/>
            <w:szCs w:val="28"/>
          </w:rPr>
          <w:t xml:space="preserve">6</w:t>
        </w:r>
      </w:hyperlink>
      <w:r>
        <w:rPr>
          <w:rFonts w:ascii="Times New Roman" w:hAnsi="Times New Roman"/>
          <w:sz w:val="28"/>
          <w:szCs w:val="28"/>
        </w:rPr>
        <w:t xml:space="preserve">, </w:t>
      </w:r>
      <w:hyperlink w:tooltip="#Par19" w:anchor="Par19" w:history="1">
        <w:r>
          <w:rPr>
            <w:rFonts w:ascii="Times New Roman" w:hAnsi="Times New Roman"/>
            <w:color w:val="0000ff"/>
            <w:sz w:val="28"/>
            <w:szCs w:val="28"/>
          </w:rPr>
          <w:t xml:space="preserve">9</w:t>
        </w:r>
      </w:hyperlink>
      <w:r>
        <w:rPr>
          <w:rFonts w:ascii="Times New Roman" w:hAnsi="Times New Roman"/>
          <w:sz w:val="28"/>
          <w:szCs w:val="28"/>
        </w:rPr>
        <w:t xml:space="preserve"> - </w:t>
      </w:r>
      <w:hyperlink w:tooltip="#Par25" w:anchor="Par25" w:history="1">
        <w:r>
          <w:rPr>
            <w:rFonts w:ascii="Times New Roman" w:hAnsi="Times New Roman"/>
            <w:color w:val="0000ff"/>
            <w:sz w:val="28"/>
            <w:szCs w:val="28"/>
          </w:rPr>
          <w:t xml:space="preserve">15</w:t>
        </w:r>
      </w:hyperlink>
      <w:r>
        <w:rPr>
          <w:rFonts w:ascii="Times New Roman" w:hAnsi="Times New Roman"/>
          <w:sz w:val="28"/>
          <w:szCs w:val="28"/>
        </w:rPr>
        <w:t xml:space="preserve">, </w:t>
      </w:r>
      <w:hyperlink w:tooltip="#Par28" w:anchor="Par28" w:history="1">
        <w:r>
          <w:rPr>
            <w:rFonts w:ascii="Times New Roman" w:hAnsi="Times New Roman"/>
            <w:color w:val="0000ff"/>
            <w:sz w:val="28"/>
            <w:szCs w:val="28"/>
          </w:rPr>
          <w:t xml:space="preserve">18</w:t>
        </w:r>
      </w:hyperlink>
      <w:r>
        <w:rPr>
          <w:rFonts w:ascii="Times New Roman" w:hAnsi="Times New Roman"/>
          <w:sz w:val="28"/>
          <w:szCs w:val="28"/>
        </w:rPr>
        <w:t xml:space="preserve"> - </w:t>
      </w:r>
      <w:hyperlink w:tooltip="#Par34" w:anchor="Par34" w:history="1">
        <w:r>
          <w:rPr>
            <w:rFonts w:ascii="Times New Roman" w:hAnsi="Times New Roman"/>
            <w:color w:val="0000ff"/>
            <w:sz w:val="28"/>
            <w:szCs w:val="28"/>
          </w:rPr>
          <w:t xml:space="preserve">21 пункта 94</w:t>
        </w:r>
      </w:hyperlink>
      <w:r>
        <w:rPr>
          <w:rFonts w:ascii="Times New Roman" w:hAnsi="Times New Roman"/>
          <w:sz w:val="28"/>
          <w:szCs w:val="28"/>
        </w:rPr>
        <w:t xml:space="preserve"> настоящих Правил.</w:t>
      </w:r>
      <w:r>
        <w:rPr>
          <w:rFonts w:ascii="Times New Roman" w:hAnsi="Times New Roman"/>
          <w:sz w:val="28"/>
          <w:szCs w:val="28"/>
        </w:rPr>
      </w:r>
    </w:p>
    <w:p>
      <w:pPr>
        <w:ind w:firstLine="540"/>
        <w:jc w:val="both"/>
        <w:spacing w:before="200"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110. Территориальный фонд размещает на своем официальном сайте реестр страховых медицинских организаций, рекомендуемый образец которого приведен в </w:t>
      </w:r>
      <w:hyperlink r:id="rId22" w:tooltip="https://login.consultant.ru/link/?req=doc&amp;base=LAW&amp;n=513432&amp;dst=101570" w:history="1">
        <w:r>
          <w:rPr>
            <w:rFonts w:ascii="Times New Roman" w:hAnsi="Times New Roman"/>
            <w:color w:val="0000ff"/>
            <w:sz w:val="28"/>
            <w:szCs w:val="28"/>
          </w:rPr>
          <w:t xml:space="preserve">приложении N 2</w:t>
        </w:r>
      </w:hyperlink>
      <w:r>
        <w:rPr>
          <w:rFonts w:ascii="Times New Roman" w:hAnsi="Times New Roman"/>
          <w:sz w:val="28"/>
          <w:szCs w:val="28"/>
        </w:rPr>
        <w:t xml:space="preserve"> к настоящим Правилам, с указанием сведений, предусмотренных </w:t>
      </w:r>
      <w:hyperlink w:tooltip="#Par12" w:anchor="Par12" w:history="1">
        <w:r>
          <w:rPr>
            <w:rFonts w:ascii="Times New Roman" w:hAnsi="Times New Roman"/>
            <w:color w:val="0000ff"/>
            <w:sz w:val="28"/>
            <w:szCs w:val="28"/>
          </w:rPr>
          <w:t xml:space="preserve">подпунктами 2</w:t>
        </w:r>
      </w:hyperlink>
      <w:r>
        <w:rPr>
          <w:rFonts w:ascii="Times New Roman" w:hAnsi="Times New Roman"/>
          <w:sz w:val="28"/>
          <w:szCs w:val="28"/>
        </w:rPr>
        <w:t xml:space="preserve">, </w:t>
      </w:r>
      <w:hyperlink w:tooltip="#Par13" w:anchor="Par13" w:history="1">
        <w:r>
          <w:rPr>
            <w:rFonts w:ascii="Times New Roman" w:hAnsi="Times New Roman"/>
            <w:color w:val="0000ff"/>
            <w:sz w:val="28"/>
            <w:szCs w:val="28"/>
          </w:rPr>
          <w:t xml:space="preserve">3</w:t>
        </w:r>
      </w:hyperlink>
      <w:r>
        <w:rPr>
          <w:rFonts w:ascii="Times New Roman" w:hAnsi="Times New Roman"/>
          <w:sz w:val="28"/>
          <w:szCs w:val="28"/>
        </w:rPr>
        <w:t xml:space="preserve">, </w:t>
      </w:r>
      <w:hyperlink w:tooltip="#Par16" w:anchor="Par16" w:history="1">
        <w:r>
          <w:rPr>
            <w:rFonts w:ascii="Times New Roman" w:hAnsi="Times New Roman"/>
            <w:color w:val="0000ff"/>
            <w:sz w:val="28"/>
            <w:szCs w:val="28"/>
          </w:rPr>
          <w:t xml:space="preserve">6</w:t>
        </w:r>
      </w:hyperlink>
      <w:r>
        <w:rPr>
          <w:rFonts w:ascii="Times New Roman" w:hAnsi="Times New Roman"/>
          <w:sz w:val="28"/>
          <w:szCs w:val="28"/>
        </w:rPr>
        <w:t xml:space="preserve">, </w:t>
      </w:r>
      <w:hyperlink w:tooltip="#Par19" w:anchor="Par19" w:history="1">
        <w:r>
          <w:rPr>
            <w:rFonts w:ascii="Times New Roman" w:hAnsi="Times New Roman"/>
            <w:color w:val="0000ff"/>
            <w:sz w:val="28"/>
            <w:szCs w:val="28"/>
          </w:rPr>
          <w:t xml:space="preserve">9</w:t>
        </w:r>
      </w:hyperlink>
      <w:r>
        <w:rPr>
          <w:rFonts w:ascii="Times New Roman" w:hAnsi="Times New Roman"/>
          <w:sz w:val="28"/>
          <w:szCs w:val="28"/>
        </w:rPr>
        <w:t xml:space="preserve"> - </w:t>
      </w:r>
      <w:hyperlink w:tooltip="#Par24" w:anchor="Par24" w:history="1">
        <w:r>
          <w:rPr>
            <w:rFonts w:ascii="Times New Roman" w:hAnsi="Times New Roman"/>
            <w:color w:val="0000ff"/>
            <w:sz w:val="28"/>
            <w:szCs w:val="28"/>
          </w:rPr>
          <w:t xml:space="preserve">14</w:t>
        </w:r>
      </w:hyperlink>
      <w:r>
        <w:rPr>
          <w:rFonts w:ascii="Times New Roman" w:hAnsi="Times New Roman"/>
          <w:sz w:val="28"/>
          <w:szCs w:val="28"/>
        </w:rPr>
        <w:t xml:space="preserve">, </w:t>
      </w:r>
      <w:hyperlink w:tooltip="#Par28" w:anchor="Par28" w:history="1">
        <w:r>
          <w:rPr>
            <w:rFonts w:ascii="Times New Roman" w:hAnsi="Times New Roman"/>
            <w:color w:val="0000ff"/>
            <w:sz w:val="28"/>
            <w:szCs w:val="28"/>
          </w:rPr>
          <w:t xml:space="preserve">18</w:t>
        </w:r>
      </w:hyperlink>
      <w:r>
        <w:rPr>
          <w:rFonts w:ascii="Times New Roman" w:hAnsi="Times New Roman"/>
          <w:sz w:val="28"/>
          <w:szCs w:val="28"/>
        </w:rPr>
        <w:t xml:space="preserve"> - </w:t>
      </w:r>
      <w:hyperlink w:tooltip="#Par34" w:anchor="Par34" w:history="1">
        <w:r>
          <w:rPr>
            <w:rFonts w:ascii="Times New Roman" w:hAnsi="Times New Roman"/>
            <w:color w:val="0000ff"/>
            <w:sz w:val="28"/>
            <w:szCs w:val="28"/>
          </w:rPr>
          <w:t xml:space="preserve">21 пункта 94</w:t>
        </w:r>
      </w:hyperlink>
      <w:r>
        <w:rPr>
          <w:rFonts w:ascii="Times New Roman" w:hAnsi="Times New Roman"/>
          <w:sz w:val="28"/>
          <w:szCs w:val="28"/>
        </w:rPr>
        <w:t xml:space="preserve"> настоящих Правил.</w:t>
      </w:r>
      <w:r>
        <w:rPr>
          <w:rFonts w:ascii="Times New Roman" w:hAnsi="Times New Roman"/>
          <w:sz w:val="28"/>
          <w:szCs w:val="28"/>
        </w:rPr>
      </w:r>
    </w:p>
    <w:p>
      <w:pPr>
        <w:ind w:firstLine="540"/>
        <w:jc w:val="both"/>
        <w:spacing w:before="200"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111. Территориальный фонд обеспечивает представление в Федеральный фонд изменений, внесенных в реестр страховых медицинских организаций, в день внесения данных изменений и размещение на своем официальном сайте реестра страховых медицинских организаций.</w:t>
      </w:r>
      <w:r>
        <w:rPr>
          <w:rFonts w:ascii="Times New Roman" w:hAnsi="Times New Roman"/>
          <w:sz w:val="28"/>
          <w:szCs w:val="28"/>
        </w:rPr>
      </w:r>
    </w:p>
    <w:p>
      <w:pPr>
        <w:ind w:firstLine="540"/>
        <w:jc w:val="both"/>
        <w:spacing w:before="200"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112. </w:t>
      </w:r>
      <w:r>
        <w:rPr>
          <w:rFonts w:ascii="Times New Roman" w:hAnsi="Times New Roman"/>
          <w:sz w:val="28"/>
          <w:szCs w:val="28"/>
        </w:rPr>
        <w:t xml:space="preserve">Федеральный фонд в соответствии с </w:t>
      </w:r>
      <w:hyperlink r:id="rId23" w:tooltip="https://login.consultant.ru/link/?req=doc&amp;base=LAW&amp;n=541084&amp;dst=100089" w:history="1">
        <w:r>
          <w:rPr>
            <w:rFonts w:ascii="Times New Roman" w:hAnsi="Times New Roman"/>
            <w:color w:val="0000ff"/>
            <w:sz w:val="28"/>
            <w:szCs w:val="28"/>
          </w:rPr>
          <w:t xml:space="preserve">пунктами 3</w:t>
        </w:r>
      </w:hyperlink>
      <w:r>
        <w:rPr>
          <w:rFonts w:ascii="Times New Roman" w:hAnsi="Times New Roman"/>
          <w:sz w:val="28"/>
          <w:szCs w:val="28"/>
        </w:rPr>
        <w:t xml:space="preserve"> и </w:t>
      </w:r>
      <w:hyperlink r:id="rId24" w:tooltip="https://login.consultant.ru/link/?req=doc&amp;base=LAW&amp;n=541084&amp;dst=13" w:history="1">
        <w:r>
          <w:rPr>
            <w:rFonts w:ascii="Times New Roman" w:hAnsi="Times New Roman"/>
            <w:color w:val="0000ff"/>
            <w:sz w:val="28"/>
            <w:szCs w:val="28"/>
          </w:rPr>
          <w:t xml:space="preserve">6 части 2 статьи 7</w:t>
        </w:r>
      </w:hyperlink>
      <w:r>
        <w:rPr>
          <w:rFonts w:ascii="Times New Roman" w:hAnsi="Times New Roman"/>
          <w:sz w:val="28"/>
          <w:szCs w:val="28"/>
        </w:rPr>
        <w:t xml:space="preserve"> Федерального закона обеспечивает контроль за соблюдением порядка включения (исключения) страховых медицинских организаций в реестр страховых медицинских организаций и в целях в</w:t>
      </w:r>
      <w:r>
        <w:rPr>
          <w:rFonts w:ascii="Times New Roman" w:hAnsi="Times New Roman"/>
          <w:sz w:val="28"/>
          <w:szCs w:val="28"/>
        </w:rPr>
        <w:t xml:space="preserve">едения единого реестра страховых медицинских организаций осуществляет проверку ведения территориальным фондом реестра страховых медицинских организаций субъекта Российской Федерации, в том числе установленного настоящей главой порядка включения (исключения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 xml:space="preserve">страховых медицинских организаций в</w:t>
      </w:r>
      <w:r>
        <w:rPr>
          <w:rFonts w:ascii="Times New Roman" w:hAnsi="Times New Roman"/>
          <w:sz w:val="28"/>
          <w:szCs w:val="28"/>
        </w:rPr>
        <w:t xml:space="preserve"> (из) реестр (реестра) страховых медицинских организаций, в рамках контроля за соблюдением законодательства об обязательном медицинском страховании и за использованием средств обязательного медицинского страхования, в том числе проводит проверки и ревизии.</w:t>
      </w:r>
      <w:r>
        <w:rPr>
          <w:rFonts w:ascii="Times New Roman" w:hAnsi="Times New Roman"/>
          <w:sz w:val="28"/>
          <w:szCs w:val="28"/>
        </w:rPr>
      </w:r>
    </w:p>
    <w:sectPr>
      <w:footnotePr/>
      <w:endnotePr/>
      <w:type w:val="nextPage"/>
      <w:pgSz w:w="11906" w:h="16838" w:orient="portrait"/>
      <w:pgMar w:top="1440" w:right="566" w:bottom="1440" w:left="1133" w:header="0" w:footer="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</w:font>
  <w:font w:name="Liberation Sans">
    <w:panose1 w:val="020B0604020202020204"/>
  </w:font>
  <w:font w:name="Times New Roman">
    <w:panose1 w:val="02020603050405020304"/>
  </w:font>
  <w:font w:name="Calibri">
    <w:panose1 w:val="020F0502020204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5">
    <w:name w:val="Heading 1 Char"/>
    <w:basedOn w:val="628"/>
    <w:link w:val="619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17">
    <w:name w:val="Heading 2 Char"/>
    <w:basedOn w:val="628"/>
    <w:link w:val="620"/>
    <w:uiPriority w:val="9"/>
    <w:rPr>
      <w:rFonts w:ascii="Liberation Sans" w:hAnsi="Liberation Sans" w:eastAsia="Liberation Sans" w:cs="Liberation Sans"/>
      <w:sz w:val="34"/>
    </w:rPr>
  </w:style>
  <w:style w:type="character" w:styleId="19">
    <w:name w:val="Heading 3 Char"/>
    <w:basedOn w:val="628"/>
    <w:link w:val="621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21">
    <w:name w:val="Heading 4 Char"/>
    <w:basedOn w:val="628"/>
    <w:link w:val="622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3">
    <w:name w:val="Heading 5 Char"/>
    <w:basedOn w:val="628"/>
    <w:link w:val="623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5">
    <w:name w:val="Heading 6 Char"/>
    <w:basedOn w:val="628"/>
    <w:link w:val="6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7">
    <w:name w:val="Heading 7 Char"/>
    <w:basedOn w:val="628"/>
    <w:link w:val="625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9">
    <w:name w:val="Heading 8 Char"/>
    <w:basedOn w:val="628"/>
    <w:link w:val="626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31">
    <w:name w:val="Heading 9 Char"/>
    <w:basedOn w:val="628"/>
    <w:link w:val="627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6">
    <w:name w:val="Title Char"/>
    <w:basedOn w:val="628"/>
    <w:link w:val="641"/>
    <w:uiPriority w:val="10"/>
    <w:rPr>
      <w:sz w:val="48"/>
      <w:szCs w:val="48"/>
    </w:rPr>
  </w:style>
  <w:style w:type="character" w:styleId="38">
    <w:name w:val="Subtitle Char"/>
    <w:basedOn w:val="628"/>
    <w:link w:val="643"/>
    <w:uiPriority w:val="11"/>
    <w:rPr>
      <w:sz w:val="24"/>
      <w:szCs w:val="24"/>
    </w:rPr>
  </w:style>
  <w:style w:type="character" w:styleId="40">
    <w:name w:val="Quote Char"/>
    <w:link w:val="649"/>
    <w:uiPriority w:val="29"/>
    <w:rPr>
      <w:i/>
    </w:rPr>
  </w:style>
  <w:style w:type="character" w:styleId="42">
    <w:name w:val="Intense Quote Char"/>
    <w:link w:val="651"/>
    <w:uiPriority w:val="30"/>
    <w:rPr>
      <w:i/>
    </w:rPr>
  </w:style>
  <w:style w:type="paragraph" w:styleId="43">
    <w:name w:val="Header"/>
    <w:basedOn w:val="618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628"/>
    <w:link w:val="43"/>
    <w:uiPriority w:val="99"/>
  </w:style>
  <w:style w:type="paragraph" w:styleId="45">
    <w:name w:val="Footer"/>
    <w:basedOn w:val="618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628"/>
    <w:link w:val="45"/>
    <w:uiPriority w:val="99"/>
  </w:style>
  <w:style w:type="character" w:styleId="48">
    <w:name w:val="Caption Char"/>
    <w:basedOn w:val="628"/>
    <w:link w:val="640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62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62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62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62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62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62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62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62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62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62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62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149">
    <w:name w:val="List Table 7 Colorful - Accent 2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150">
    <w:name w:val="List Table 7 Colorful - Accent 3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151">
    <w:name w:val="List Table 7 Colorful - Accent 4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152">
    <w:name w:val="List Table 7 Colorful - Accent 5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153">
    <w:name w:val="List Table 7 Colorful - Accent 6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154">
    <w:name w:val="Lined - Accent"/>
    <w:basedOn w:val="6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6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6">
    <w:name w:val="Lined - Accent 2"/>
    <w:basedOn w:val="6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7">
    <w:name w:val="Lined - Accent 3"/>
    <w:basedOn w:val="6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8">
    <w:name w:val="Lined - Accent 4"/>
    <w:basedOn w:val="6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9">
    <w:name w:val="Lined - Accent 5"/>
    <w:basedOn w:val="6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0">
    <w:name w:val="Lined - Accent 6"/>
    <w:basedOn w:val="6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1">
    <w:name w:val="Bordered &amp; Lined - Accent"/>
    <w:basedOn w:val="6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6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3">
    <w:name w:val="Bordered &amp; Lined - Accent 2"/>
    <w:basedOn w:val="6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4">
    <w:name w:val="Bordered &amp; Lined - Accent 3"/>
    <w:basedOn w:val="6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5">
    <w:name w:val="Bordered &amp; Lined - Accent 4"/>
    <w:basedOn w:val="6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6">
    <w:name w:val="Bordered &amp; Lined - Accent 5"/>
    <w:basedOn w:val="6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7">
    <w:name w:val="Bordered &amp; Lined - Accent 6"/>
    <w:basedOn w:val="6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8">
    <w:name w:val="Bordered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618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628"/>
    <w:uiPriority w:val="99"/>
    <w:unhideWhenUsed/>
    <w:rPr>
      <w:vertAlign w:val="superscript"/>
    </w:rPr>
  </w:style>
  <w:style w:type="paragraph" w:styleId="179">
    <w:name w:val="endnote text"/>
    <w:basedOn w:val="618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628"/>
    <w:uiPriority w:val="99"/>
    <w:semiHidden/>
    <w:unhideWhenUsed/>
    <w:rPr>
      <w:vertAlign w:val="superscript"/>
    </w:rPr>
  </w:style>
  <w:style w:type="paragraph" w:styleId="182">
    <w:name w:val="toc 1"/>
    <w:basedOn w:val="618"/>
    <w:next w:val="618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18"/>
    <w:next w:val="618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18"/>
    <w:next w:val="618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18"/>
    <w:next w:val="618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18"/>
    <w:next w:val="618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18"/>
    <w:next w:val="618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18"/>
    <w:next w:val="618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18"/>
    <w:next w:val="618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18"/>
    <w:next w:val="618"/>
    <w:uiPriority w:val="39"/>
    <w:unhideWhenUsed/>
    <w:pPr>
      <w:ind w:left="2268" w:right="0" w:firstLine="0"/>
      <w:spacing w:after="57"/>
    </w:pPr>
  </w:style>
  <w:style w:type="paragraph" w:styleId="192">
    <w:name w:val="table of figures"/>
    <w:basedOn w:val="618"/>
    <w:next w:val="618"/>
    <w:uiPriority w:val="99"/>
    <w:unhideWhenUsed/>
    <w:pPr>
      <w:spacing w:after="0" w:afterAutospacing="0"/>
    </w:pPr>
  </w:style>
  <w:style w:type="paragraph" w:styleId="618" w:default="1">
    <w:name w:val="Normal"/>
    <w:qFormat/>
    <w:pPr>
      <w:spacing w:after="200" w:line="276" w:lineRule="auto"/>
    </w:pPr>
    <w:rPr>
      <w:sz w:val="22"/>
      <w:szCs w:val="22"/>
    </w:rPr>
  </w:style>
  <w:style w:type="paragraph" w:styleId="619">
    <w:name w:val="Heading 1"/>
    <w:basedOn w:val="618"/>
    <w:next w:val="618"/>
    <w:link w:val="631"/>
    <w:uiPriority w:val="9"/>
    <w:qFormat/>
    <w:pPr>
      <w:keepLines/>
      <w:keepNext/>
      <w:spacing w:before="480" w:after="0"/>
      <w:outlineLvl w:val="0"/>
    </w:pPr>
    <w:rPr>
      <w:rFonts w:ascii="Cambria" w:hAnsi="Cambria" w:eastAsia="Times New Roman"/>
      <w:b/>
      <w:bCs/>
      <w:color w:val="365f91"/>
      <w:sz w:val="28"/>
      <w:szCs w:val="28"/>
    </w:rPr>
  </w:style>
  <w:style w:type="paragraph" w:styleId="620">
    <w:name w:val="Heading 2"/>
    <w:basedOn w:val="618"/>
    <w:next w:val="618"/>
    <w:link w:val="632"/>
    <w:uiPriority w:val="9"/>
    <w:semiHidden/>
    <w:unhideWhenUsed/>
    <w:qFormat/>
    <w:pPr>
      <w:keepLines/>
      <w:keepNext/>
      <w:spacing w:before="200" w:after="0"/>
      <w:outlineLvl w:val="1"/>
    </w:pPr>
    <w:rPr>
      <w:rFonts w:ascii="Cambria" w:hAnsi="Cambria" w:eastAsia="Times New Roman"/>
      <w:b/>
      <w:bCs/>
      <w:color w:val="4f81bd"/>
      <w:sz w:val="26"/>
      <w:szCs w:val="26"/>
    </w:rPr>
  </w:style>
  <w:style w:type="paragraph" w:styleId="621">
    <w:name w:val="Heading 3"/>
    <w:basedOn w:val="618"/>
    <w:next w:val="618"/>
    <w:link w:val="633"/>
    <w:uiPriority w:val="9"/>
    <w:semiHidden/>
    <w:unhideWhenUsed/>
    <w:qFormat/>
    <w:pPr>
      <w:keepLines/>
      <w:keepNext/>
      <w:spacing w:before="200" w:after="0"/>
      <w:outlineLvl w:val="2"/>
    </w:pPr>
    <w:rPr>
      <w:rFonts w:ascii="Cambria" w:hAnsi="Cambria" w:eastAsia="Times New Roman"/>
      <w:b/>
      <w:bCs/>
      <w:color w:val="4f81bd"/>
      <w:sz w:val="20"/>
      <w:szCs w:val="20"/>
    </w:rPr>
  </w:style>
  <w:style w:type="paragraph" w:styleId="622">
    <w:name w:val="Heading 4"/>
    <w:basedOn w:val="618"/>
    <w:next w:val="618"/>
    <w:link w:val="634"/>
    <w:uiPriority w:val="9"/>
    <w:semiHidden/>
    <w:unhideWhenUsed/>
    <w:qFormat/>
    <w:pPr>
      <w:keepLines/>
      <w:keepNext/>
      <w:spacing w:before="200" w:after="0"/>
      <w:outlineLvl w:val="3"/>
    </w:pPr>
    <w:rPr>
      <w:rFonts w:ascii="Cambria" w:hAnsi="Cambria" w:eastAsia="Times New Roman"/>
      <w:b/>
      <w:bCs/>
      <w:i/>
      <w:iCs/>
      <w:color w:val="4f81bd"/>
      <w:sz w:val="20"/>
      <w:szCs w:val="20"/>
    </w:rPr>
  </w:style>
  <w:style w:type="paragraph" w:styleId="623">
    <w:name w:val="Heading 5"/>
    <w:basedOn w:val="618"/>
    <w:next w:val="618"/>
    <w:link w:val="635"/>
    <w:uiPriority w:val="9"/>
    <w:semiHidden/>
    <w:unhideWhenUsed/>
    <w:qFormat/>
    <w:pPr>
      <w:keepLines/>
      <w:keepNext/>
      <w:spacing w:before="200" w:after="0"/>
      <w:outlineLvl w:val="4"/>
    </w:pPr>
    <w:rPr>
      <w:rFonts w:ascii="Cambria" w:hAnsi="Cambria" w:eastAsia="Times New Roman"/>
      <w:color w:val="243f60"/>
      <w:sz w:val="20"/>
      <w:szCs w:val="20"/>
    </w:rPr>
  </w:style>
  <w:style w:type="paragraph" w:styleId="624">
    <w:name w:val="Heading 6"/>
    <w:basedOn w:val="618"/>
    <w:next w:val="618"/>
    <w:link w:val="636"/>
    <w:uiPriority w:val="9"/>
    <w:semiHidden/>
    <w:unhideWhenUsed/>
    <w:qFormat/>
    <w:pPr>
      <w:keepLines/>
      <w:keepNext/>
      <w:spacing w:before="200" w:after="0"/>
      <w:outlineLvl w:val="5"/>
    </w:pPr>
    <w:rPr>
      <w:rFonts w:ascii="Cambria" w:hAnsi="Cambria" w:eastAsia="Times New Roman"/>
      <w:i/>
      <w:iCs/>
      <w:color w:val="243f60"/>
      <w:sz w:val="20"/>
      <w:szCs w:val="20"/>
    </w:rPr>
  </w:style>
  <w:style w:type="paragraph" w:styleId="625">
    <w:name w:val="Heading 7"/>
    <w:basedOn w:val="618"/>
    <w:next w:val="618"/>
    <w:link w:val="637"/>
    <w:uiPriority w:val="9"/>
    <w:semiHidden/>
    <w:unhideWhenUsed/>
    <w:qFormat/>
    <w:pPr>
      <w:keepLines/>
      <w:keepNext/>
      <w:spacing w:before="200" w:after="0"/>
      <w:outlineLvl w:val="6"/>
    </w:pPr>
    <w:rPr>
      <w:rFonts w:ascii="Cambria" w:hAnsi="Cambria" w:eastAsia="Times New Roman"/>
      <w:i/>
      <w:iCs/>
      <w:color w:val="404040"/>
      <w:sz w:val="20"/>
      <w:szCs w:val="20"/>
    </w:rPr>
  </w:style>
  <w:style w:type="paragraph" w:styleId="626">
    <w:name w:val="Heading 8"/>
    <w:basedOn w:val="618"/>
    <w:next w:val="618"/>
    <w:link w:val="638"/>
    <w:uiPriority w:val="9"/>
    <w:semiHidden/>
    <w:unhideWhenUsed/>
    <w:qFormat/>
    <w:pPr>
      <w:keepLines/>
      <w:keepNext/>
      <w:spacing w:before="200" w:after="0"/>
      <w:outlineLvl w:val="7"/>
    </w:pPr>
    <w:rPr>
      <w:rFonts w:ascii="Cambria" w:hAnsi="Cambria" w:eastAsia="Times New Roman"/>
      <w:color w:val="404040"/>
      <w:sz w:val="20"/>
      <w:szCs w:val="20"/>
    </w:rPr>
  </w:style>
  <w:style w:type="paragraph" w:styleId="627">
    <w:name w:val="Heading 9"/>
    <w:basedOn w:val="618"/>
    <w:next w:val="618"/>
    <w:link w:val="639"/>
    <w:uiPriority w:val="9"/>
    <w:semiHidden/>
    <w:unhideWhenUsed/>
    <w:qFormat/>
    <w:pPr>
      <w:keepLines/>
      <w:keepNext/>
      <w:spacing w:before="200" w:after="0"/>
      <w:outlineLvl w:val="8"/>
    </w:pPr>
    <w:rPr>
      <w:rFonts w:ascii="Cambria" w:hAnsi="Cambria" w:eastAsia="Times New Roman"/>
      <w:i/>
      <w:iCs/>
      <w:color w:val="404040"/>
      <w:sz w:val="20"/>
      <w:szCs w:val="20"/>
    </w:rPr>
  </w:style>
  <w:style w:type="character" w:styleId="628" w:default="1">
    <w:name w:val="Default Paragraph Font"/>
    <w:uiPriority w:val="1"/>
    <w:semiHidden/>
    <w:unhideWhenUsed/>
  </w:style>
  <w:style w:type="table" w:styleId="62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30" w:default="1">
    <w:name w:val="No List"/>
    <w:uiPriority w:val="99"/>
    <w:semiHidden/>
    <w:unhideWhenUsed/>
  </w:style>
  <w:style w:type="character" w:styleId="631" w:customStyle="1">
    <w:name w:val="Заголовок 1 Знак"/>
    <w:link w:val="619"/>
    <w:uiPriority w:val="9"/>
    <w:rPr>
      <w:rFonts w:ascii="Cambria" w:hAnsi="Cambria" w:eastAsia="Times New Roman"/>
      <w:b/>
      <w:bCs/>
      <w:color w:val="365f91"/>
      <w:sz w:val="28"/>
      <w:szCs w:val="28"/>
    </w:rPr>
  </w:style>
  <w:style w:type="character" w:styleId="632" w:customStyle="1">
    <w:name w:val="Заголовок 2 Знак"/>
    <w:link w:val="620"/>
    <w:uiPriority w:val="9"/>
    <w:semiHidden/>
    <w:rPr>
      <w:rFonts w:ascii="Cambria" w:hAnsi="Cambria" w:eastAsia="Times New Roman"/>
      <w:b/>
      <w:bCs/>
      <w:color w:val="4f81bd"/>
      <w:sz w:val="26"/>
      <w:szCs w:val="26"/>
    </w:rPr>
  </w:style>
  <w:style w:type="character" w:styleId="633" w:customStyle="1">
    <w:name w:val="Заголовок 3 Знак"/>
    <w:link w:val="621"/>
    <w:uiPriority w:val="9"/>
    <w:semiHidden/>
    <w:rPr>
      <w:rFonts w:ascii="Cambria" w:hAnsi="Cambria" w:eastAsia="Times New Roman"/>
      <w:b/>
      <w:bCs/>
      <w:color w:val="4f81bd"/>
    </w:rPr>
  </w:style>
  <w:style w:type="character" w:styleId="634" w:customStyle="1">
    <w:name w:val="Заголовок 4 Знак"/>
    <w:link w:val="622"/>
    <w:uiPriority w:val="9"/>
    <w:semiHidden/>
    <w:rPr>
      <w:rFonts w:ascii="Cambria" w:hAnsi="Cambria" w:eastAsia="Times New Roman"/>
      <w:b/>
      <w:bCs/>
      <w:i/>
      <w:iCs/>
      <w:color w:val="4f81bd"/>
    </w:rPr>
  </w:style>
  <w:style w:type="character" w:styleId="635" w:customStyle="1">
    <w:name w:val="Заголовок 5 Знак"/>
    <w:link w:val="623"/>
    <w:uiPriority w:val="9"/>
    <w:semiHidden/>
    <w:rPr>
      <w:rFonts w:ascii="Cambria" w:hAnsi="Cambria" w:eastAsia="Times New Roman"/>
      <w:color w:val="243f60"/>
    </w:rPr>
  </w:style>
  <w:style w:type="character" w:styleId="636" w:customStyle="1">
    <w:name w:val="Заголовок 6 Знак"/>
    <w:link w:val="624"/>
    <w:uiPriority w:val="9"/>
    <w:semiHidden/>
    <w:rPr>
      <w:rFonts w:ascii="Cambria" w:hAnsi="Cambria" w:eastAsia="Times New Roman"/>
      <w:i/>
      <w:iCs/>
      <w:color w:val="243f60"/>
    </w:rPr>
  </w:style>
  <w:style w:type="character" w:styleId="637" w:customStyle="1">
    <w:name w:val="Заголовок 7 Знак"/>
    <w:link w:val="625"/>
    <w:uiPriority w:val="9"/>
    <w:semiHidden/>
    <w:rPr>
      <w:rFonts w:ascii="Cambria" w:hAnsi="Cambria" w:eastAsia="Times New Roman"/>
      <w:i/>
      <w:iCs/>
      <w:color w:val="404040"/>
    </w:rPr>
  </w:style>
  <w:style w:type="character" w:styleId="638" w:customStyle="1">
    <w:name w:val="Заголовок 8 Знак"/>
    <w:link w:val="626"/>
    <w:uiPriority w:val="9"/>
    <w:semiHidden/>
    <w:rPr>
      <w:rFonts w:ascii="Cambria" w:hAnsi="Cambria" w:eastAsia="Times New Roman"/>
      <w:color w:val="404040"/>
    </w:rPr>
  </w:style>
  <w:style w:type="character" w:styleId="639" w:customStyle="1">
    <w:name w:val="Заголовок 9 Знак"/>
    <w:link w:val="627"/>
    <w:uiPriority w:val="9"/>
    <w:semiHidden/>
    <w:rPr>
      <w:rFonts w:ascii="Cambria" w:hAnsi="Cambria" w:eastAsia="Times New Roman"/>
      <w:i/>
      <w:iCs/>
      <w:color w:val="404040"/>
    </w:rPr>
  </w:style>
  <w:style w:type="paragraph" w:styleId="640">
    <w:name w:val="Caption"/>
    <w:basedOn w:val="618"/>
    <w:next w:val="618"/>
    <w:uiPriority w:val="35"/>
    <w:semiHidden/>
    <w:unhideWhenUsed/>
    <w:qFormat/>
    <w:pPr>
      <w:spacing w:line="240" w:lineRule="auto"/>
    </w:pPr>
    <w:rPr>
      <w:b/>
      <w:bCs/>
      <w:color w:val="4f81bd"/>
      <w:sz w:val="18"/>
      <w:szCs w:val="18"/>
    </w:rPr>
  </w:style>
  <w:style w:type="paragraph" w:styleId="641">
    <w:name w:val="Title"/>
    <w:basedOn w:val="618"/>
    <w:next w:val="618"/>
    <w:link w:val="642"/>
    <w:uiPriority w:val="10"/>
    <w:qFormat/>
    <w:pPr>
      <w:contextualSpacing/>
      <w:spacing w:after="300" w:line="240" w:lineRule="auto"/>
      <w:pBdr>
        <w:bottom w:val="single" w:color="4F81BD" w:sz="8" w:space="4"/>
      </w:pBdr>
    </w:pPr>
    <w:rPr>
      <w:rFonts w:ascii="Cambria" w:hAnsi="Cambria" w:eastAsia="Times New Roman"/>
      <w:color w:val="17365d"/>
      <w:spacing w:val="5"/>
      <w:sz w:val="52"/>
      <w:szCs w:val="52"/>
    </w:rPr>
  </w:style>
  <w:style w:type="character" w:styleId="642" w:customStyle="1">
    <w:name w:val="Название Знак"/>
    <w:link w:val="641"/>
    <w:uiPriority w:val="10"/>
    <w:rPr>
      <w:rFonts w:ascii="Cambria" w:hAnsi="Cambria" w:eastAsia="Times New Roman"/>
      <w:color w:val="17365d"/>
      <w:spacing w:val="5"/>
      <w:sz w:val="52"/>
      <w:szCs w:val="52"/>
    </w:rPr>
  </w:style>
  <w:style w:type="paragraph" w:styleId="643">
    <w:name w:val="Subtitle"/>
    <w:basedOn w:val="618"/>
    <w:next w:val="618"/>
    <w:link w:val="644"/>
    <w:uiPriority w:val="11"/>
    <w:qFormat/>
    <w:pPr>
      <w:numPr>
        <w:ilvl w:val="1"/>
      </w:numPr>
    </w:pPr>
    <w:rPr>
      <w:rFonts w:ascii="Cambria" w:hAnsi="Cambria" w:eastAsia="Times New Roman"/>
      <w:i/>
      <w:iCs/>
      <w:color w:val="4f81bd"/>
      <w:spacing w:val="15"/>
      <w:sz w:val="24"/>
      <w:szCs w:val="24"/>
    </w:rPr>
  </w:style>
  <w:style w:type="character" w:styleId="644" w:customStyle="1">
    <w:name w:val="Подзаголовок Знак"/>
    <w:link w:val="643"/>
    <w:uiPriority w:val="11"/>
    <w:rPr>
      <w:rFonts w:ascii="Cambria" w:hAnsi="Cambria" w:eastAsia="Times New Roman"/>
      <w:i/>
      <w:iCs/>
      <w:color w:val="4f81bd"/>
      <w:spacing w:val="15"/>
      <w:sz w:val="24"/>
      <w:szCs w:val="24"/>
    </w:rPr>
  </w:style>
  <w:style w:type="character" w:styleId="645">
    <w:name w:val="Strong"/>
    <w:uiPriority w:val="22"/>
    <w:qFormat/>
    <w:rPr>
      <w:b/>
      <w:bCs/>
    </w:rPr>
  </w:style>
  <w:style w:type="character" w:styleId="646">
    <w:name w:val="Emphasis"/>
    <w:uiPriority w:val="20"/>
    <w:qFormat/>
    <w:rPr>
      <w:i/>
      <w:iCs/>
    </w:rPr>
  </w:style>
  <w:style w:type="paragraph" w:styleId="647">
    <w:name w:val="No Spacing"/>
    <w:uiPriority w:val="1"/>
    <w:qFormat/>
    <w:rPr>
      <w:sz w:val="22"/>
      <w:szCs w:val="22"/>
    </w:rPr>
  </w:style>
  <w:style w:type="paragraph" w:styleId="648">
    <w:name w:val="List Paragraph"/>
    <w:basedOn w:val="618"/>
    <w:uiPriority w:val="34"/>
    <w:qFormat/>
    <w:pPr>
      <w:contextualSpacing/>
      <w:ind w:left="720"/>
    </w:pPr>
  </w:style>
  <w:style w:type="paragraph" w:styleId="649">
    <w:name w:val="Quote"/>
    <w:basedOn w:val="618"/>
    <w:next w:val="618"/>
    <w:link w:val="650"/>
    <w:uiPriority w:val="29"/>
    <w:qFormat/>
    <w:rPr>
      <w:i/>
      <w:iCs/>
      <w:color w:val="000000"/>
      <w:sz w:val="20"/>
      <w:szCs w:val="20"/>
    </w:rPr>
  </w:style>
  <w:style w:type="character" w:styleId="650" w:customStyle="1">
    <w:name w:val="Цитата 2 Знак"/>
    <w:link w:val="649"/>
    <w:uiPriority w:val="29"/>
    <w:rPr>
      <w:i/>
      <w:iCs/>
      <w:color w:val="000000"/>
    </w:rPr>
  </w:style>
  <w:style w:type="paragraph" w:styleId="651">
    <w:name w:val="Intense Quote"/>
    <w:basedOn w:val="618"/>
    <w:next w:val="618"/>
    <w:link w:val="652"/>
    <w:uiPriority w:val="30"/>
    <w:qFormat/>
    <w:pPr>
      <w:ind w:left="936" w:right="936"/>
      <w:spacing w:before="200" w:after="280"/>
      <w:pBdr>
        <w:bottom w:val="single" w:color="4F81BD" w:sz="4" w:space="4"/>
      </w:pBdr>
    </w:pPr>
    <w:rPr>
      <w:b/>
      <w:bCs/>
      <w:i/>
      <w:iCs/>
      <w:color w:val="4f81bd"/>
      <w:sz w:val="20"/>
      <w:szCs w:val="20"/>
    </w:rPr>
  </w:style>
  <w:style w:type="character" w:styleId="652" w:customStyle="1">
    <w:name w:val="Выделенная цитата Знак"/>
    <w:link w:val="651"/>
    <w:uiPriority w:val="30"/>
    <w:rPr>
      <w:b/>
      <w:bCs/>
      <w:i/>
      <w:iCs/>
      <w:color w:val="4f81bd"/>
    </w:rPr>
  </w:style>
  <w:style w:type="character" w:styleId="653">
    <w:name w:val="Subtle Emphasis"/>
    <w:uiPriority w:val="19"/>
    <w:qFormat/>
    <w:rPr>
      <w:i/>
      <w:iCs/>
      <w:color w:val="808080"/>
    </w:rPr>
  </w:style>
  <w:style w:type="character" w:styleId="654">
    <w:name w:val="Intense Emphasis"/>
    <w:uiPriority w:val="21"/>
    <w:qFormat/>
    <w:rPr>
      <w:b/>
      <w:bCs/>
      <w:i/>
      <w:iCs/>
      <w:color w:val="4f81bd"/>
    </w:rPr>
  </w:style>
  <w:style w:type="character" w:styleId="655">
    <w:name w:val="Subtle Reference"/>
    <w:uiPriority w:val="31"/>
    <w:qFormat/>
    <w:rPr>
      <w:smallCaps/>
      <w:color w:val="c0504d"/>
      <w:u w:val="single"/>
    </w:rPr>
  </w:style>
  <w:style w:type="character" w:styleId="656">
    <w:name w:val="Intense Reference"/>
    <w:uiPriority w:val="32"/>
    <w:qFormat/>
    <w:rPr>
      <w:b/>
      <w:bCs/>
      <w:smallCaps/>
      <w:color w:val="c0504d"/>
      <w:spacing w:val="5"/>
      <w:u w:val="single"/>
    </w:rPr>
  </w:style>
  <w:style w:type="character" w:styleId="657">
    <w:name w:val="Book Title"/>
    <w:uiPriority w:val="33"/>
    <w:qFormat/>
    <w:rPr>
      <w:b/>
      <w:bCs/>
      <w:smallCaps/>
      <w:spacing w:val="5"/>
    </w:rPr>
  </w:style>
  <w:style w:type="paragraph" w:styleId="658">
    <w:name w:val="TOC Heading"/>
    <w:basedOn w:val="619"/>
    <w:next w:val="618"/>
    <w:uiPriority w:val="39"/>
    <w:semiHidden/>
    <w:unhideWhenUsed/>
    <w:qFormat/>
    <w:pPr>
      <w:outlineLvl w:val="9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yperlink" Target="https://login.consultant.ru/link/?req=doc&amp;base=LAW&amp;n=541084&amp;dst=100396" TargetMode="External"/><Relationship Id="rId9" Type="http://schemas.openxmlformats.org/officeDocument/2006/relationships/hyperlink" Target="https://login.consultant.ru/link/?req=doc&amp;base=LAW&amp;n=513432&amp;dst=101570" TargetMode="External"/><Relationship Id="rId10" Type="http://schemas.openxmlformats.org/officeDocument/2006/relationships/hyperlink" Target="https://login.consultant.ru/link/?req=doc&amp;base=LAW&amp;n=541084&amp;dst=396" TargetMode="External"/><Relationship Id="rId11" Type="http://schemas.openxmlformats.org/officeDocument/2006/relationships/hyperlink" Target="https://login.consultant.ru/link/?req=doc&amp;base=LAW&amp;n=536637" TargetMode="External"/><Relationship Id="rId12" Type="http://schemas.openxmlformats.org/officeDocument/2006/relationships/hyperlink" Target="https://login.consultant.ru/link/?req=doc&amp;base=LAW&amp;n=516533" TargetMode="External"/><Relationship Id="rId13" Type="http://schemas.openxmlformats.org/officeDocument/2006/relationships/hyperlink" Target="https://login.consultant.ru/link/?req=doc&amp;base=LAW&amp;n=484555&amp;dst=100014" TargetMode="External"/><Relationship Id="rId14" Type="http://schemas.openxmlformats.org/officeDocument/2006/relationships/hyperlink" Target="https://login.consultant.ru/link/?req=doc&amp;base=LAW&amp;n=484555" TargetMode="External"/><Relationship Id="rId15" Type="http://schemas.openxmlformats.org/officeDocument/2006/relationships/hyperlink" Target="https://login.consultant.ru/link/?req=doc&amp;base=LAW&amp;n=513432&amp;dst=101615" TargetMode="External"/><Relationship Id="rId16" Type="http://schemas.openxmlformats.org/officeDocument/2006/relationships/hyperlink" Target="https://login.consultant.ru/link/?req=doc&amp;base=LAW&amp;n=411721" TargetMode="External"/><Relationship Id="rId17" Type="http://schemas.openxmlformats.org/officeDocument/2006/relationships/hyperlink" Target="https://login.consultant.ru/link/?req=doc&amp;base=LAW&amp;n=516533" TargetMode="External"/><Relationship Id="rId18" Type="http://schemas.openxmlformats.org/officeDocument/2006/relationships/hyperlink" Target="https://login.consultant.ru/link/?req=doc&amp;base=LAW&amp;n=541084&amp;dst=386" TargetMode="External"/><Relationship Id="rId19" Type="http://schemas.openxmlformats.org/officeDocument/2006/relationships/hyperlink" Target="https://login.consultant.ru/link/?req=doc&amp;base=LAW&amp;n=541084&amp;dst=386" TargetMode="External"/><Relationship Id="rId20" Type="http://schemas.openxmlformats.org/officeDocument/2006/relationships/hyperlink" Target="https://login.consultant.ru/link/?req=doc&amp;base=LAW&amp;n=541084&amp;dst=100493" TargetMode="External"/><Relationship Id="rId21" Type="http://schemas.openxmlformats.org/officeDocument/2006/relationships/hyperlink" Target="https://login.consultant.ru/link/?req=doc&amp;base=LAW&amp;n=541084&amp;dst=386" TargetMode="External"/><Relationship Id="rId22" Type="http://schemas.openxmlformats.org/officeDocument/2006/relationships/hyperlink" Target="https://login.consultant.ru/link/?req=doc&amp;base=LAW&amp;n=513432&amp;dst=101570" TargetMode="External"/><Relationship Id="rId23" Type="http://schemas.openxmlformats.org/officeDocument/2006/relationships/hyperlink" Target="https://login.consultant.ru/link/?req=doc&amp;base=LAW&amp;n=541084&amp;dst=100089" TargetMode="External"/><Relationship Id="rId24" Type="http://schemas.openxmlformats.org/officeDocument/2006/relationships/hyperlink" Target="https://login.consultant.ru/link/?req=doc&amp;base=LAW&amp;n=541084&amp;dst=13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ТФОМС Ростовской области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Пенкина</dc:creator>
  <cp:lastModifiedBy>Василенков</cp:lastModifiedBy>
  <cp:revision>3</cp:revision>
  <dcterms:created xsi:type="dcterms:W3CDTF">2026-08-17T13:18:00Z</dcterms:created>
  <dcterms:modified xsi:type="dcterms:W3CDTF">2026-08-21T11:38:33Z</dcterms:modified>
</cp:coreProperties>
</file>